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901"/>
      </w:tblGrid>
      <w:tr w:rsidR="00AC014A" w:rsidRPr="004C5D56" w14:paraId="08436EBF" w14:textId="77777777" w:rsidTr="00DD745B">
        <w:trPr>
          <w:trHeight w:val="280"/>
        </w:trPr>
        <w:tc>
          <w:tcPr>
            <w:tcW w:w="4523" w:type="dxa"/>
            <w:vAlign w:val="center"/>
          </w:tcPr>
          <w:p w14:paraId="76E5FB91" w14:textId="2A1AC4F9" w:rsidR="00DD745B" w:rsidRPr="004C5D56" w:rsidRDefault="00DD745B" w:rsidP="00603F7A">
            <w:pPr>
              <w:spacing w:line="300" w:lineRule="auto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901" w:type="dxa"/>
            <w:vAlign w:val="center"/>
          </w:tcPr>
          <w:p w14:paraId="6FF0E9BA" w14:textId="0A779EFB" w:rsidR="00DD745B" w:rsidRPr="004C5D56" w:rsidRDefault="00DD745B" w:rsidP="00AA54C3">
            <w:pPr>
              <w:spacing w:line="300" w:lineRule="auto"/>
              <w:jc w:val="right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1B0DD1BF" w14:textId="77777777" w:rsidR="0027451E" w:rsidRDefault="0027451E" w:rsidP="00380A8F">
      <w:pPr>
        <w:jc w:val="both"/>
        <w:rPr>
          <w:rFonts w:ascii="Montserrat" w:hAnsi="Montserrat" w:cs="Times New Roman"/>
          <w:sz w:val="16"/>
          <w:szCs w:val="16"/>
        </w:rPr>
      </w:pPr>
    </w:p>
    <w:p w14:paraId="7601DF1D" w14:textId="77777777" w:rsidR="001C0C2F" w:rsidRDefault="001C0C2F" w:rsidP="00380A8F">
      <w:pPr>
        <w:suppressAutoHyphens/>
        <w:spacing w:after="0" w:line="240" w:lineRule="auto"/>
        <w:jc w:val="both"/>
        <w:rPr>
          <w:rFonts w:ascii="Montserrat" w:eastAsia="Times New Roman" w:hAnsi="Montserrat" w:cs="Times New Roman"/>
          <w:sz w:val="16"/>
          <w:szCs w:val="16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1609"/>
      </w:tblGrid>
      <w:tr w:rsidR="001C0C2F" w:rsidRPr="008C6CCA" w14:paraId="469F1727" w14:textId="77777777" w:rsidTr="00D56ED4">
        <w:tc>
          <w:tcPr>
            <w:tcW w:w="1980" w:type="dxa"/>
          </w:tcPr>
          <w:p w14:paraId="40D9646E" w14:textId="77777777" w:rsidR="00506525" w:rsidRDefault="00506525" w:rsidP="00380A8F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EEEA467" w14:textId="77777777" w:rsidR="001C0C2F" w:rsidRPr="008C6CCA" w:rsidRDefault="00750508" w:rsidP="00380A8F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C6CC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0" locked="0" layoutInCell="0" allowOverlap="1" wp14:anchorId="42C6AB94" wp14:editId="5AB12C0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367030</wp:posOffset>
                  </wp:positionV>
                  <wp:extent cx="1133475" cy="395142"/>
                  <wp:effectExtent l="0" t="0" r="0" b="5080"/>
                  <wp:wrapTopAndBottom/>
                  <wp:docPr id="1" name="Obraz 1" descr="logo_SSSEpl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_SSSEpl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14:paraId="5425F874" w14:textId="53C56E56" w:rsidR="00E160F5" w:rsidRPr="008C6CCA" w:rsidRDefault="001C0C2F" w:rsidP="001C0C2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6CCA">
              <w:rPr>
                <w:rFonts w:ascii="Arial" w:eastAsia="Calibri" w:hAnsi="Arial" w:cs="Arial"/>
                <w:b/>
                <w:sz w:val="16"/>
                <w:szCs w:val="16"/>
              </w:rPr>
              <w:t>„WYCIĄG Z OGŁOSZENIA O</w:t>
            </w:r>
            <w:r w:rsidR="00BC395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783953">
              <w:rPr>
                <w:rFonts w:ascii="Arial" w:eastAsia="Calibri" w:hAnsi="Arial" w:cs="Arial"/>
                <w:b/>
                <w:sz w:val="16"/>
                <w:szCs w:val="16"/>
              </w:rPr>
              <w:t>TRZECIM</w:t>
            </w:r>
            <w:r w:rsidRPr="008C6CCA">
              <w:rPr>
                <w:rFonts w:ascii="Arial" w:eastAsia="Calibri" w:hAnsi="Arial" w:cs="Arial"/>
                <w:b/>
                <w:sz w:val="16"/>
                <w:szCs w:val="16"/>
              </w:rPr>
              <w:t xml:space="preserve"> PRZETARGU</w:t>
            </w:r>
            <w:r w:rsidR="00E160F5" w:rsidRPr="008C6CCA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14:paraId="4FB96FDA" w14:textId="77777777" w:rsidR="001C0C2F" w:rsidRPr="008C6CCA" w:rsidRDefault="00E160F5" w:rsidP="001C0C2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6CCA">
              <w:rPr>
                <w:rFonts w:ascii="Arial" w:eastAsia="Calibri" w:hAnsi="Arial" w:cs="Arial"/>
                <w:b/>
                <w:sz w:val="16"/>
                <w:szCs w:val="16"/>
              </w:rPr>
              <w:t xml:space="preserve">NA SPRZEDAŻ NIERUCHOMOŚCI </w:t>
            </w:r>
          </w:p>
          <w:p w14:paraId="1804E5C0" w14:textId="4B5ACE24" w:rsidR="001127E6" w:rsidRPr="008C6CCA" w:rsidRDefault="001C0C2F" w:rsidP="001C0C2F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6CCA">
              <w:rPr>
                <w:rFonts w:ascii="Arial" w:hAnsi="Arial" w:cs="Arial"/>
                <w:b/>
                <w:sz w:val="16"/>
                <w:szCs w:val="16"/>
              </w:rPr>
              <w:t>Pomorska Agencja Rozwoju Regiona</w:t>
            </w:r>
            <w:r w:rsidR="00BC3951">
              <w:rPr>
                <w:rFonts w:ascii="Arial" w:hAnsi="Arial" w:cs="Arial"/>
                <w:b/>
                <w:sz w:val="16"/>
                <w:szCs w:val="16"/>
              </w:rPr>
              <w:t>lnego S. A. w Słupsku – Zarządzający  Słupską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 Specjaln</w:t>
            </w:r>
            <w:r w:rsidR="00BC3951">
              <w:rPr>
                <w:rFonts w:ascii="Arial" w:hAnsi="Arial" w:cs="Arial"/>
                <w:b/>
                <w:sz w:val="16"/>
                <w:szCs w:val="16"/>
              </w:rPr>
              <w:t>ą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 Stref</w:t>
            </w:r>
            <w:r w:rsidR="00BC3951">
              <w:rPr>
                <w:rFonts w:ascii="Arial" w:hAnsi="Arial" w:cs="Arial"/>
                <w:b/>
                <w:sz w:val="16"/>
                <w:szCs w:val="16"/>
              </w:rPr>
              <w:t>ą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 Ekonomiczn</w:t>
            </w:r>
            <w:r w:rsidR="00BC3951">
              <w:rPr>
                <w:rFonts w:ascii="Arial" w:hAnsi="Arial" w:cs="Arial"/>
                <w:b/>
                <w:sz w:val="16"/>
                <w:szCs w:val="16"/>
              </w:rPr>
              <w:t>ą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27E6" w:rsidRPr="008C6CCA">
              <w:rPr>
                <w:rFonts w:ascii="Arial" w:hAnsi="Arial" w:cs="Arial"/>
                <w:b/>
                <w:sz w:val="16"/>
                <w:szCs w:val="16"/>
              </w:rPr>
              <w:t xml:space="preserve">oraz 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>Burmistrz Miasta Wałcz ogłasza</w:t>
            </w:r>
            <w:r w:rsidR="001127E6" w:rsidRPr="008C6CCA">
              <w:rPr>
                <w:rFonts w:ascii="Arial" w:hAnsi="Arial" w:cs="Arial"/>
                <w:b/>
                <w:sz w:val="16"/>
                <w:szCs w:val="16"/>
              </w:rPr>
              <w:t>ją</w:t>
            </w:r>
            <w:r w:rsidR="009E493B" w:rsidRPr="008C6C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63B2">
              <w:rPr>
                <w:rFonts w:ascii="Arial" w:hAnsi="Arial" w:cs="Arial"/>
                <w:b/>
                <w:sz w:val="16"/>
                <w:szCs w:val="16"/>
              </w:rPr>
              <w:t>trzeci</w:t>
            </w:r>
            <w:r w:rsidR="00506525">
              <w:rPr>
                <w:rFonts w:ascii="Arial" w:hAnsi="Arial" w:cs="Arial"/>
                <w:b/>
                <w:sz w:val="16"/>
                <w:szCs w:val="16"/>
              </w:rPr>
              <w:t xml:space="preserve"> ustny</w:t>
            </w:r>
            <w:r w:rsidR="00650828">
              <w:rPr>
                <w:rFonts w:ascii="Arial" w:hAnsi="Arial" w:cs="Arial"/>
                <w:b/>
                <w:sz w:val="16"/>
                <w:szCs w:val="16"/>
              </w:rPr>
              <w:t xml:space="preserve"> przetarg</w:t>
            </w:r>
            <w:r w:rsidR="009E493B" w:rsidRPr="008C6C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6525">
              <w:rPr>
                <w:rFonts w:ascii="Arial" w:hAnsi="Arial" w:cs="Arial"/>
                <w:b/>
                <w:sz w:val="16"/>
                <w:szCs w:val="16"/>
              </w:rPr>
              <w:t>nieograniczony na sprzedaż niezabudowanej</w:t>
            </w:r>
            <w:r w:rsidR="009E493B" w:rsidRPr="008C6CCA">
              <w:rPr>
                <w:rFonts w:ascii="Arial" w:hAnsi="Arial" w:cs="Arial"/>
                <w:b/>
                <w:sz w:val="16"/>
                <w:szCs w:val="16"/>
              </w:rPr>
              <w:t xml:space="preserve"> nieruchomości </w:t>
            </w:r>
            <w:r w:rsidR="00506525">
              <w:rPr>
                <w:rFonts w:ascii="Arial" w:hAnsi="Arial" w:cs="Arial"/>
                <w:b/>
                <w:sz w:val="16"/>
                <w:szCs w:val="16"/>
              </w:rPr>
              <w:t>gruntowej opisanej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 niżej,</w:t>
            </w:r>
            <w:r w:rsidR="009E493B" w:rsidRPr="008C6CCA">
              <w:rPr>
                <w:rFonts w:ascii="Arial" w:hAnsi="Arial" w:cs="Arial"/>
                <w:b/>
                <w:sz w:val="16"/>
                <w:szCs w:val="16"/>
              </w:rPr>
              <w:t xml:space="preserve"> mające</w:t>
            </w:r>
            <w:r w:rsidR="00650828"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 na celu wyłonienie przedsiębiorcy, który nabędzie </w:t>
            </w:r>
            <w:r w:rsidR="00FF3571" w:rsidRPr="008C6CCA">
              <w:rPr>
                <w:rFonts w:ascii="Arial" w:hAnsi="Arial" w:cs="Arial"/>
                <w:b/>
                <w:sz w:val="16"/>
                <w:szCs w:val="16"/>
              </w:rPr>
              <w:t xml:space="preserve">na własność </w:t>
            </w:r>
            <w:r w:rsidRPr="008C6CCA">
              <w:rPr>
                <w:rFonts w:ascii="Arial" w:hAnsi="Arial" w:cs="Arial"/>
                <w:b/>
                <w:sz w:val="16"/>
                <w:szCs w:val="16"/>
              </w:rPr>
              <w:t xml:space="preserve">nieruchomość na terenie Podstrefy „Wałcz” Słupskiej Specjalnej Strefy Ekonomicznej, na której będzie prowadzona </w:t>
            </w:r>
          </w:p>
          <w:p w14:paraId="0EEEAB47" w14:textId="77777777" w:rsidR="00506525" w:rsidRPr="00C62BA2" w:rsidRDefault="001C0C2F" w:rsidP="00C62BA2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6CCA">
              <w:rPr>
                <w:rFonts w:ascii="Arial" w:hAnsi="Arial" w:cs="Arial"/>
                <w:b/>
                <w:sz w:val="16"/>
                <w:szCs w:val="16"/>
              </w:rPr>
              <w:t>działalność gospodarcza</w:t>
            </w:r>
          </w:p>
          <w:p w14:paraId="752D82EE" w14:textId="77777777" w:rsidR="001C0C2F" w:rsidRPr="008C6CCA" w:rsidRDefault="001C0C2F" w:rsidP="00380A8F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09" w:type="dxa"/>
          </w:tcPr>
          <w:p w14:paraId="6E04D0E1" w14:textId="77777777" w:rsidR="00750508" w:rsidRPr="008C6CCA" w:rsidRDefault="00750508" w:rsidP="00380A8F">
            <w:pPr>
              <w:suppressAutoHyphens/>
              <w:jc w:val="both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49CE41A5" w14:textId="77777777" w:rsidR="00750508" w:rsidRPr="008C6CCA" w:rsidRDefault="00750508" w:rsidP="00380A8F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8B9452A" w14:textId="77777777" w:rsidR="00750508" w:rsidRPr="008C6CCA" w:rsidRDefault="00750508" w:rsidP="00380A8F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C6CCA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9F1D0AB" wp14:editId="2CDF13B4">
                  <wp:extent cx="676381" cy="790575"/>
                  <wp:effectExtent l="0" t="0" r="9525" b="0"/>
                  <wp:docPr id="2" name="Obraz 2" descr="WAŁCZ herb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WAŁCZ herb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45" cy="79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8042A" w14:textId="77777777" w:rsidR="00C24F1E" w:rsidRPr="004E495A" w:rsidRDefault="00C24F1E" w:rsidP="00C24F1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E495A">
        <w:rPr>
          <w:rFonts w:ascii="Arial" w:eastAsia="Times New Roman" w:hAnsi="Arial" w:cs="Arial"/>
          <w:sz w:val="16"/>
          <w:szCs w:val="16"/>
          <w:lang w:eastAsia="pl-PL"/>
        </w:rPr>
        <w:t>W skład mienia objętego przetargiem wchodzą następujące nieruchomości stanowiące własność Gminy Miasto Wałcz.</w:t>
      </w:r>
    </w:p>
    <w:p w14:paraId="45D4A6A9" w14:textId="77777777" w:rsidR="00C24F1E" w:rsidRPr="00C24F1E" w:rsidRDefault="00C24F1E" w:rsidP="00C24F1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57"/>
        <w:gridCol w:w="1560"/>
        <w:gridCol w:w="1984"/>
        <w:gridCol w:w="1559"/>
        <w:gridCol w:w="1985"/>
      </w:tblGrid>
      <w:tr w:rsidR="00C24F1E" w:rsidRPr="00C24F1E" w14:paraId="540E7FEE" w14:textId="77777777" w:rsidTr="004E495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6E59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proofErr w:type="spellStart"/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14B6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Oznaczenie nieruchomości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75C9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Powierzchnia  (ha)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A0E5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Cena wywoławcza netto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5B37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35A327A5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Wadium 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B68A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Postąpienie minimalne</w:t>
            </w:r>
          </w:p>
          <w:p w14:paraId="344B9E8E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(zł)</w:t>
            </w:r>
          </w:p>
        </w:tc>
      </w:tr>
      <w:tr w:rsidR="00C24F1E" w:rsidRPr="00C24F1E" w14:paraId="4182107D" w14:textId="77777777" w:rsidTr="004E495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BF34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FD64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Działka nr </w:t>
            </w:r>
          </w:p>
          <w:p w14:paraId="454AB474" w14:textId="77777777" w:rsidR="00C24F1E" w:rsidRPr="00C24F1E" w:rsidRDefault="00C24F1E" w:rsidP="00D621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DF998C9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3724/13</w:t>
            </w:r>
          </w:p>
          <w:p w14:paraId="4B673E45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3724/14</w:t>
            </w:r>
          </w:p>
          <w:p w14:paraId="52CCC272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3726/1</w:t>
            </w:r>
          </w:p>
          <w:p w14:paraId="144C600A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3730/3</w:t>
            </w:r>
          </w:p>
          <w:p w14:paraId="510D2431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4D5D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4CE88EE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267E962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0.0087 ha</w:t>
            </w:r>
          </w:p>
          <w:p w14:paraId="07710B14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0.9002 ha</w:t>
            </w:r>
          </w:p>
          <w:p w14:paraId="16C2B3C4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0.6251 ha</w:t>
            </w:r>
          </w:p>
          <w:p w14:paraId="46773434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1.5793 ha</w:t>
            </w:r>
          </w:p>
          <w:p w14:paraId="661A8C19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pow. 3.1133 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99CA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48193C8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A0F1861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2.000.000,00 zł</w:t>
            </w:r>
          </w:p>
          <w:p w14:paraId="502707F8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(słownie: dwa miliony zł</w:t>
            </w: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A0EB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34F1975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C907F48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200.000,00 zł</w:t>
            </w:r>
          </w:p>
          <w:p w14:paraId="7E6FEEEE" w14:textId="2F7165A2" w:rsidR="00C24F1E" w:rsidRPr="00C24F1E" w:rsidRDefault="00606FD8" w:rsidP="000E5B2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Płatne do </w:t>
            </w:r>
            <w:r w:rsidR="00AE4CD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26</w:t>
            </w:r>
            <w:r w:rsidR="000E5B2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AE4CD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  <w:r w:rsidR="00C24F1E"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.2023r.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1161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D5D85E3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7E63286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20.000,00 zł</w:t>
            </w:r>
          </w:p>
          <w:p w14:paraId="552D2F72" w14:textId="77777777" w:rsidR="00C24F1E" w:rsidRPr="00C24F1E" w:rsidRDefault="00C24F1E" w:rsidP="00D621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4F1E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(</w:t>
            </w:r>
            <w:r w:rsidRPr="00C24F1E">
              <w:rPr>
                <w:rFonts w:ascii="Arial" w:eastAsia="Times New Roman" w:hAnsi="Arial"/>
                <w:bCs/>
                <w:sz w:val="12"/>
                <w:szCs w:val="12"/>
                <w:lang w:eastAsia="pl-PL"/>
              </w:rPr>
              <w:t>nie  mniej niż 1% ceny</w:t>
            </w:r>
            <w:r w:rsidRPr="00C24F1E">
              <w:rPr>
                <w:rFonts w:ascii="Arial" w:eastAsia="Times New Roman" w:hAnsi="Arial"/>
                <w:b/>
                <w:bCs/>
                <w:sz w:val="12"/>
                <w:szCs w:val="12"/>
                <w:lang w:eastAsia="pl-PL"/>
              </w:rPr>
              <w:t xml:space="preserve"> </w:t>
            </w:r>
            <w:r w:rsidRPr="00C24F1E">
              <w:rPr>
                <w:rFonts w:ascii="Arial" w:eastAsia="Times New Roman" w:hAnsi="Arial"/>
                <w:bCs/>
                <w:sz w:val="12"/>
                <w:szCs w:val="12"/>
                <w:lang w:eastAsia="pl-PL"/>
              </w:rPr>
              <w:t>wywoławczej z zaokrągleniem w górę do pełnych dziesiątek złotych)</w:t>
            </w:r>
          </w:p>
        </w:tc>
      </w:tr>
    </w:tbl>
    <w:p w14:paraId="35BF70B7" w14:textId="77777777" w:rsidR="00C24F1E" w:rsidRPr="005C3A71" w:rsidRDefault="00C24F1E" w:rsidP="00C24F1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3E623" w14:textId="77777777" w:rsidR="00C24F1E" w:rsidRPr="00C24F1E" w:rsidRDefault="00C24F1E" w:rsidP="00C24F1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4F1E">
        <w:rPr>
          <w:rFonts w:ascii="Arial" w:eastAsia="Times New Roman" w:hAnsi="Arial" w:cs="Arial"/>
          <w:sz w:val="16"/>
          <w:szCs w:val="16"/>
          <w:lang w:eastAsia="pl-PL"/>
        </w:rPr>
        <w:t xml:space="preserve">Nieruchomość gruntowa, niezabudowana, składająca się z działek nr ewidencyjny: 3724/13, 3724/14, 3726/1, 3730/3 o łącznej pow. 3.1133 ha, położona w Wałczu obręb 0001, powiat Wałcz, województwo zachodniopomorskie, w okolicy ul. Budowalnych i Południowej – drogi gminne publiczne, księga wieczysta dla w/w działek prowadzona przez Sąd Rejonowy w Wałczu nr KO1W/00021239/1. Dział III i IV księgi wieczystej bez obciążeń. </w:t>
      </w:r>
    </w:p>
    <w:p w14:paraId="09B09566" w14:textId="1CA43C01" w:rsidR="00C24F1E" w:rsidRPr="00606FD8" w:rsidRDefault="00C24F1E" w:rsidP="00C24F1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4F1E">
        <w:rPr>
          <w:rFonts w:ascii="Arial" w:eastAsia="Times New Roman" w:hAnsi="Arial" w:cs="Arial"/>
          <w:sz w:val="16"/>
          <w:szCs w:val="16"/>
          <w:lang w:eastAsia="pl-PL"/>
        </w:rPr>
        <w:t>Dojazd do nieruchomości bezpośredni od strony drogi gminnej</w:t>
      </w:r>
      <w:r w:rsidR="00011B21">
        <w:rPr>
          <w:rFonts w:ascii="Arial" w:eastAsia="Times New Roman" w:hAnsi="Arial" w:cs="Arial"/>
          <w:sz w:val="16"/>
          <w:szCs w:val="16"/>
          <w:lang w:eastAsia="pl-PL"/>
        </w:rPr>
        <w:t xml:space="preserve"> publicznej</w:t>
      </w:r>
      <w:r w:rsidRPr="00C24F1E">
        <w:rPr>
          <w:rFonts w:ascii="Arial" w:eastAsia="Times New Roman" w:hAnsi="Arial" w:cs="Arial"/>
          <w:sz w:val="16"/>
          <w:szCs w:val="16"/>
          <w:lang w:eastAsia="pl-PL"/>
        </w:rPr>
        <w:t xml:space="preserve"> ul. Budowlanych. Przez nieruchomość działka nr 3730/3 przebiega sieć wodociągowa, telekomunikacyjna i kanalizacji sanitarnej (sieci nie kolidują z planowaną zabudową). Dodatkowo przez działki nr 3730/</w:t>
      </w:r>
      <w:r w:rsidR="000E5B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C24F1E">
        <w:rPr>
          <w:rFonts w:ascii="Arial" w:eastAsia="Times New Roman" w:hAnsi="Arial" w:cs="Arial"/>
          <w:sz w:val="16"/>
          <w:szCs w:val="16"/>
          <w:lang w:eastAsia="pl-PL"/>
        </w:rPr>
        <w:t xml:space="preserve">, 3724/14 i 3726/1 przebiega </w:t>
      </w:r>
      <w:r w:rsidRPr="00606FD8">
        <w:rPr>
          <w:rFonts w:ascii="Arial" w:eastAsia="Times New Roman" w:hAnsi="Arial" w:cs="Arial"/>
          <w:sz w:val="16"/>
          <w:szCs w:val="16"/>
          <w:lang w:eastAsia="pl-PL"/>
        </w:rPr>
        <w:t>napowietrzna linia energetyczna – do przebudowy przez przyszłego nabywcę w przypadku kolizji.</w:t>
      </w:r>
      <w:r w:rsidR="00CC2F49" w:rsidRPr="00606F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06FD8">
        <w:rPr>
          <w:rFonts w:ascii="Arial" w:hAnsi="Arial" w:cs="Arial"/>
          <w:sz w:val="16"/>
          <w:szCs w:val="16"/>
        </w:rPr>
        <w:t>Nieruchomość porośnięta drzewami – samosieje. W przypadku kolizji planowanej inwestycji z istniejącym drzewostanem, nabywca uzyska zezwolenie na wycinkę drzew zgodnie z obowiązującymi przepisami i dokona wycinki na własny koszt.</w:t>
      </w:r>
    </w:p>
    <w:p w14:paraId="566024DF" w14:textId="77777777" w:rsidR="00C24F1E" w:rsidRPr="00606FD8" w:rsidRDefault="00C24F1E" w:rsidP="00CC2F49">
      <w:pPr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606FD8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Klasyfikacja gruntu: </w:t>
      </w:r>
      <w:r w:rsidR="00CC2F49" w:rsidRPr="00606FD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606FD8">
        <w:rPr>
          <w:rFonts w:ascii="Arial" w:eastAsia="Times New Roman" w:hAnsi="Arial" w:cs="Arial"/>
          <w:bCs/>
          <w:sz w:val="16"/>
          <w:szCs w:val="16"/>
          <w:u w:val="single"/>
        </w:rPr>
        <w:t xml:space="preserve">Działka nr:  3724/13- </w:t>
      </w:r>
      <w:r w:rsidRPr="00606FD8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606FD8">
        <w:rPr>
          <w:rFonts w:ascii="Arial" w:eastAsia="Times New Roman" w:hAnsi="Arial" w:cs="Arial"/>
          <w:bCs/>
          <w:sz w:val="16"/>
          <w:szCs w:val="16"/>
        </w:rPr>
        <w:t>RIVa</w:t>
      </w:r>
      <w:proofErr w:type="spellEnd"/>
      <w:r w:rsidRPr="00606FD8">
        <w:rPr>
          <w:rFonts w:ascii="Arial" w:eastAsia="Times New Roman" w:hAnsi="Arial" w:cs="Arial"/>
          <w:bCs/>
          <w:sz w:val="16"/>
          <w:szCs w:val="16"/>
        </w:rPr>
        <w:t xml:space="preserve">; 3724/14 -  </w:t>
      </w:r>
      <w:proofErr w:type="spellStart"/>
      <w:r w:rsidRPr="00606FD8">
        <w:rPr>
          <w:rFonts w:ascii="Arial" w:eastAsia="Times New Roman" w:hAnsi="Arial" w:cs="Arial"/>
          <w:bCs/>
          <w:sz w:val="16"/>
          <w:szCs w:val="16"/>
        </w:rPr>
        <w:t>RIVa</w:t>
      </w:r>
      <w:proofErr w:type="spellEnd"/>
      <w:r w:rsidRPr="00606FD8">
        <w:rPr>
          <w:rFonts w:ascii="Arial" w:eastAsia="Times New Roman" w:hAnsi="Arial" w:cs="Arial"/>
          <w:bCs/>
          <w:sz w:val="16"/>
          <w:szCs w:val="16"/>
        </w:rPr>
        <w:t xml:space="preserve">, N; 3726/1 – </w:t>
      </w:r>
      <w:proofErr w:type="spellStart"/>
      <w:r w:rsidRPr="00606FD8">
        <w:rPr>
          <w:rFonts w:ascii="Arial" w:eastAsia="Times New Roman" w:hAnsi="Arial" w:cs="Arial"/>
          <w:bCs/>
          <w:sz w:val="16"/>
          <w:szCs w:val="16"/>
        </w:rPr>
        <w:t>RIVa</w:t>
      </w:r>
      <w:proofErr w:type="spellEnd"/>
      <w:r w:rsidRPr="00606FD8">
        <w:rPr>
          <w:rFonts w:ascii="Arial" w:eastAsia="Times New Roman" w:hAnsi="Arial" w:cs="Arial"/>
          <w:bCs/>
          <w:sz w:val="16"/>
          <w:szCs w:val="16"/>
        </w:rPr>
        <w:t xml:space="preserve">, N; 3730/3 – </w:t>
      </w:r>
      <w:proofErr w:type="spellStart"/>
      <w:r w:rsidRPr="00606FD8">
        <w:rPr>
          <w:rFonts w:ascii="Arial" w:eastAsia="Times New Roman" w:hAnsi="Arial" w:cs="Arial"/>
          <w:bCs/>
          <w:sz w:val="16"/>
          <w:szCs w:val="16"/>
        </w:rPr>
        <w:t>RIVa</w:t>
      </w:r>
      <w:proofErr w:type="spellEnd"/>
      <w:r w:rsidRPr="00606FD8">
        <w:rPr>
          <w:rFonts w:ascii="Arial" w:eastAsia="Times New Roman" w:hAnsi="Arial" w:cs="Arial"/>
          <w:bCs/>
          <w:sz w:val="16"/>
          <w:szCs w:val="16"/>
        </w:rPr>
        <w:t>, W-</w:t>
      </w:r>
      <w:proofErr w:type="spellStart"/>
      <w:r w:rsidRPr="00606FD8">
        <w:rPr>
          <w:rFonts w:ascii="Arial" w:eastAsia="Times New Roman" w:hAnsi="Arial" w:cs="Arial"/>
          <w:bCs/>
          <w:sz w:val="16"/>
          <w:szCs w:val="16"/>
        </w:rPr>
        <w:t>RIVa</w:t>
      </w:r>
      <w:proofErr w:type="spellEnd"/>
      <w:r w:rsidRPr="00606FD8">
        <w:rPr>
          <w:rFonts w:ascii="Arial" w:eastAsia="Times New Roman" w:hAnsi="Arial" w:cs="Arial"/>
          <w:bCs/>
          <w:sz w:val="16"/>
          <w:szCs w:val="16"/>
        </w:rPr>
        <w:t>.</w:t>
      </w:r>
    </w:p>
    <w:p w14:paraId="41736F68" w14:textId="0036880C" w:rsidR="00C24F1E" w:rsidRDefault="00C24F1E" w:rsidP="00C24F1E">
      <w:pPr>
        <w:widowControl w:val="0"/>
        <w:suppressLineNumbers/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606FD8">
        <w:rPr>
          <w:rFonts w:ascii="Arial" w:eastAsia="Times New Roman" w:hAnsi="Arial" w:cs="Arial"/>
          <w:bCs/>
          <w:sz w:val="16"/>
          <w:szCs w:val="16"/>
        </w:rPr>
        <w:t xml:space="preserve">Nieruchomość posiada możliwość podłączenia się do sieci energetycznej, wodociągowej, gazowej i sanitarnej po uzyskaniu uzgodnień z gestorem sieci. </w:t>
      </w:r>
    </w:p>
    <w:p w14:paraId="470DE450" w14:textId="492AD0D7" w:rsidR="000E5B2D" w:rsidRPr="00606FD8" w:rsidRDefault="000E5B2D" w:rsidP="00C24F1E">
      <w:pPr>
        <w:widowControl w:val="0"/>
        <w:suppressLineNumbers/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Pierwszy przetarg odbył się 09.02.2023r.</w:t>
      </w:r>
      <w:r w:rsidR="00783953">
        <w:rPr>
          <w:rFonts w:ascii="Arial" w:eastAsia="Times New Roman" w:hAnsi="Arial" w:cs="Arial"/>
          <w:bCs/>
          <w:sz w:val="16"/>
          <w:szCs w:val="16"/>
        </w:rPr>
        <w:t xml:space="preserve"> Drugi przetarg odbył się 25.05.2023r.</w:t>
      </w:r>
    </w:p>
    <w:p w14:paraId="0485ADF2" w14:textId="77777777" w:rsidR="00606FD8" w:rsidRPr="00606FD8" w:rsidRDefault="00606FD8" w:rsidP="00606FD8">
      <w:pPr>
        <w:jc w:val="both"/>
        <w:rPr>
          <w:rFonts w:ascii="Arial" w:hAnsi="Arial" w:cs="Arial"/>
          <w:sz w:val="16"/>
          <w:szCs w:val="16"/>
          <w:u w:val="single"/>
          <w:lang w:eastAsia="pl-PL"/>
        </w:rPr>
      </w:pPr>
      <w:r w:rsidRPr="00606FD8">
        <w:rPr>
          <w:rFonts w:ascii="Arial" w:hAnsi="Arial" w:cs="Arial"/>
          <w:bCs/>
          <w:sz w:val="16"/>
          <w:szCs w:val="16"/>
          <w:u w:val="single"/>
        </w:rPr>
        <w:t>W związku z faktem, iż na nieruchomość 3724/14 przebiega</w:t>
      </w:r>
      <w:r w:rsidRPr="00606FD8">
        <w:rPr>
          <w:rFonts w:ascii="Arial" w:hAnsi="Arial" w:cs="Arial"/>
          <w:sz w:val="16"/>
          <w:szCs w:val="16"/>
          <w:u w:val="single"/>
          <w:lang w:eastAsia="pl-PL"/>
        </w:rPr>
        <w:t xml:space="preserve"> sieć kanalizacji deszczowej oraz zbiornik na wody deszczowe, Nabywca działki zobligowany będzie do ustanowienia w umowie notarialnej nieodpłatnej i nieograniczonej czasowo służebności gruntowej odpowiadającej treścią służebności </w:t>
      </w:r>
      <w:proofErr w:type="spellStart"/>
      <w:r w:rsidRPr="00606FD8">
        <w:rPr>
          <w:rFonts w:ascii="Arial" w:hAnsi="Arial" w:cs="Arial"/>
          <w:sz w:val="16"/>
          <w:szCs w:val="16"/>
          <w:u w:val="single"/>
          <w:lang w:eastAsia="pl-PL"/>
        </w:rPr>
        <w:t>przesyłu</w:t>
      </w:r>
      <w:proofErr w:type="spellEnd"/>
      <w:r w:rsidRPr="00606FD8">
        <w:rPr>
          <w:rFonts w:ascii="Arial" w:hAnsi="Arial" w:cs="Arial"/>
          <w:sz w:val="16"/>
          <w:szCs w:val="16"/>
          <w:u w:val="single"/>
          <w:lang w:eastAsia="pl-PL"/>
        </w:rPr>
        <w:t xml:space="preserve"> dla w/w sieci kanalizacji deszczowej i zbiornika na wody deszczowe na rzecz Gminy Miejskiej Wałcz i jego następców prawnych zgodnie z załącznikiem graficznym określającym pas służebności na nieruchomości oraz nieodpłatnej i nieograniczonej czasowo służebności gruntowej dojścia i dojazdu do w/w zbiornika na rzez Gminy Miejskiej Wałcz. </w:t>
      </w:r>
    </w:p>
    <w:p w14:paraId="176EC321" w14:textId="77777777" w:rsidR="00C24F1E" w:rsidRPr="005E6B5E" w:rsidRDefault="00C24F1E" w:rsidP="00CC2F49">
      <w:pPr>
        <w:widowControl w:val="0"/>
        <w:suppressLineNumbers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606FD8">
        <w:rPr>
          <w:rFonts w:ascii="Arial" w:eastAsia="Times New Roman" w:hAnsi="Arial" w:cs="Arial"/>
          <w:bCs/>
          <w:sz w:val="16"/>
          <w:szCs w:val="16"/>
        </w:rPr>
        <w:t xml:space="preserve">Nieruchomość objęta jest zapisami planu miejscowego </w:t>
      </w:r>
      <w:r w:rsidRPr="00606FD8">
        <w:rPr>
          <w:rFonts w:ascii="Arial" w:eastAsia="Times New Roman" w:hAnsi="Arial" w:cs="Arial"/>
          <w:bCs/>
          <w:iCs/>
          <w:sz w:val="16"/>
          <w:szCs w:val="16"/>
        </w:rPr>
        <w:t>Uchwała nr VIII/VI</w:t>
      </w:r>
      <w:r w:rsidRPr="00C24F1E">
        <w:rPr>
          <w:rFonts w:ascii="Arial" w:eastAsia="Times New Roman" w:hAnsi="Arial" w:cs="Arial"/>
          <w:bCs/>
          <w:iCs/>
          <w:sz w:val="16"/>
          <w:szCs w:val="16"/>
        </w:rPr>
        <w:t>/61/19 Rady Miasta Wałcz z dnia 30.04.2019r. w sprawie miejscowego planu zagospodarowania przestrzennego miasta Wałcz w rejonie ulic Budowlanych, Strefowej i Południowej (Dz. Urz. Woj. Zachodniopomorskiego  z 06.06.2019r. poz. 3169).</w:t>
      </w:r>
      <w:r w:rsidR="00CC2F49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C24F1E">
        <w:rPr>
          <w:rFonts w:ascii="Arial" w:hAnsi="Arial" w:cs="Arial"/>
          <w:b/>
          <w:bCs/>
          <w:sz w:val="16"/>
          <w:szCs w:val="16"/>
          <w:lang w:eastAsia="pl-PL"/>
        </w:rPr>
        <w:t xml:space="preserve">Zgodnie z planem miejscowym nieruchomość znajdują się na terenie </w:t>
      </w:r>
      <w:r w:rsidRPr="00C24F1E">
        <w:rPr>
          <w:rFonts w:ascii="Arial" w:hAnsi="Arial" w:cs="Arial"/>
          <w:b/>
          <w:sz w:val="16"/>
          <w:szCs w:val="16"/>
          <w:lang w:eastAsia="pl-PL"/>
        </w:rPr>
        <w:t xml:space="preserve">zabudowy usługowej oraz obiektów produkcyjnych, składów i magazynów oznaczony symbolem </w:t>
      </w:r>
      <w:r w:rsidRPr="00C24F1E">
        <w:rPr>
          <w:rFonts w:ascii="Arial" w:hAnsi="Arial" w:cs="Arial"/>
          <w:b/>
          <w:bCs/>
          <w:sz w:val="16"/>
          <w:szCs w:val="16"/>
          <w:lang w:eastAsia="pl-PL"/>
        </w:rPr>
        <w:t>UP</w:t>
      </w:r>
      <w:r w:rsidRPr="00C24F1E">
        <w:rPr>
          <w:rFonts w:ascii="Arial" w:hAnsi="Arial" w:cs="Arial"/>
          <w:bCs/>
          <w:sz w:val="16"/>
          <w:szCs w:val="16"/>
          <w:lang w:eastAsia="pl-PL"/>
        </w:rPr>
        <w:t>.</w:t>
      </w:r>
    </w:p>
    <w:p w14:paraId="0F4094E5" w14:textId="2F323ABA" w:rsidR="00C24F1E" w:rsidRPr="005D3C2C" w:rsidRDefault="00C24F1E" w:rsidP="00C24F1E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5D3C2C">
        <w:rPr>
          <w:rFonts w:ascii="Arial" w:hAnsi="Arial" w:cs="Arial"/>
          <w:b/>
          <w:i/>
          <w:sz w:val="18"/>
          <w:szCs w:val="18"/>
          <w:u w:val="single"/>
        </w:rPr>
        <w:t xml:space="preserve">Przetarg odbędzie się </w:t>
      </w:r>
      <w:r w:rsidR="00783953" w:rsidRPr="005D3C2C"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="000E5B2D" w:rsidRPr="005D3C2C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783953" w:rsidRPr="005D3C2C">
        <w:rPr>
          <w:rFonts w:ascii="Arial" w:hAnsi="Arial" w:cs="Arial"/>
          <w:b/>
          <w:i/>
          <w:sz w:val="18"/>
          <w:szCs w:val="18"/>
          <w:u w:val="single"/>
        </w:rPr>
        <w:t>listopada</w:t>
      </w:r>
      <w:r w:rsidRPr="005D3C2C">
        <w:rPr>
          <w:rFonts w:ascii="Arial" w:hAnsi="Arial" w:cs="Arial"/>
          <w:b/>
          <w:i/>
          <w:sz w:val="18"/>
          <w:szCs w:val="18"/>
          <w:u w:val="single"/>
        </w:rPr>
        <w:t xml:space="preserve"> 2023 r. w Urzędzie Miasta Wałcz </w:t>
      </w:r>
    </w:p>
    <w:p w14:paraId="3B9CC8BE" w14:textId="77777777" w:rsidR="00C24F1E" w:rsidRPr="005D3C2C" w:rsidRDefault="00C24F1E" w:rsidP="00C24F1E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5D3C2C">
        <w:rPr>
          <w:rFonts w:ascii="Arial" w:hAnsi="Arial" w:cs="Arial"/>
          <w:b/>
          <w:i/>
          <w:sz w:val="18"/>
          <w:szCs w:val="18"/>
          <w:u w:val="single"/>
        </w:rPr>
        <w:t>Pl. Wolności 1 w sali Nr 109  o godzinie  11:00</w:t>
      </w:r>
    </w:p>
    <w:p w14:paraId="08CDF9AB" w14:textId="77777777" w:rsidR="00C24F1E" w:rsidRPr="005D3C2C" w:rsidRDefault="00C24F1E" w:rsidP="00C24F1E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0EFC406" w14:textId="02446F4E" w:rsidR="00C24F1E" w:rsidRPr="00C24F1E" w:rsidRDefault="00C24F1E" w:rsidP="00C24F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u w:val="single"/>
          <w:lang w:eastAsia="pl-PL"/>
        </w:rPr>
      </w:pPr>
      <w:r w:rsidRPr="00C24F1E">
        <w:rPr>
          <w:rFonts w:ascii="Arial" w:hAnsi="Arial" w:cs="Arial"/>
          <w:sz w:val="16"/>
          <w:szCs w:val="16"/>
          <w:lang w:eastAsia="pl-PL"/>
        </w:rPr>
        <w:t xml:space="preserve">Osoby wyrażające chęć wzięcia udziału w przetargu winny </w:t>
      </w:r>
      <w:r w:rsidRPr="00C24F1E">
        <w:rPr>
          <w:rFonts w:ascii="Arial" w:hAnsi="Arial" w:cs="Arial"/>
          <w:b/>
          <w:sz w:val="16"/>
          <w:szCs w:val="16"/>
          <w:lang w:eastAsia="pl-PL"/>
        </w:rPr>
        <w:t xml:space="preserve">wpłacić wadium w wysokości 200.000,00 zł (słownie: dwieście tysięcy zł) </w:t>
      </w:r>
      <w:r w:rsidRPr="00C24F1E">
        <w:rPr>
          <w:rFonts w:ascii="Arial" w:hAnsi="Arial" w:cs="Arial"/>
          <w:sz w:val="16"/>
          <w:szCs w:val="16"/>
          <w:lang w:eastAsia="pl-PL"/>
        </w:rPr>
        <w:t xml:space="preserve">na konto Gminy Miejskiej Wałcz Nr </w:t>
      </w:r>
      <w:r w:rsidRPr="00C24F1E">
        <w:rPr>
          <w:rFonts w:ascii="Arial" w:hAnsi="Arial" w:cs="Arial"/>
          <w:b/>
          <w:bCs/>
          <w:sz w:val="16"/>
          <w:szCs w:val="16"/>
          <w:lang w:eastAsia="pl-PL"/>
        </w:rPr>
        <w:t xml:space="preserve">38 1240 3712 1111 0000 4363 6633 PKO S.A. I O/Wałcz. Ustalona kwota wadium musi znaleźć się na koncie Gminy najpóźniej </w:t>
      </w:r>
      <w:r w:rsidRPr="00C24F1E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dnia </w:t>
      </w:r>
      <w:r w:rsidR="00783953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26.10</w:t>
      </w:r>
      <w:r w:rsidR="000E5B2D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.</w:t>
      </w:r>
      <w:r w:rsidRPr="00C24F1E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2023r. </w:t>
      </w:r>
      <w:r w:rsidRPr="00C24F1E">
        <w:rPr>
          <w:rFonts w:ascii="Arial" w:hAnsi="Arial" w:cs="Arial"/>
          <w:b/>
          <w:sz w:val="16"/>
          <w:szCs w:val="16"/>
          <w:lang w:eastAsia="pl-PL"/>
        </w:rPr>
        <w:t>Wadium wniesione po terminie nie będzie uwzględnione,</w:t>
      </w:r>
    </w:p>
    <w:p w14:paraId="69400F24" w14:textId="77777777" w:rsidR="00C24F1E" w:rsidRPr="00C24F1E" w:rsidRDefault="00C24F1E" w:rsidP="00C24F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u w:val="single"/>
          <w:lang w:eastAsia="pl-PL"/>
        </w:rPr>
      </w:pPr>
      <w:r w:rsidRPr="00C24F1E">
        <w:rPr>
          <w:rFonts w:ascii="Arial" w:hAnsi="Arial" w:cs="Arial"/>
          <w:b/>
          <w:bCs/>
          <w:sz w:val="16"/>
          <w:szCs w:val="16"/>
          <w:lang w:eastAsia="pl-PL"/>
        </w:rPr>
        <w:t>Postąpienie nie może być niższe niż 20.000,00 zł.</w:t>
      </w:r>
      <w:r w:rsidRPr="00C24F1E"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 w:rsidRPr="00C24F1E">
        <w:rPr>
          <w:rFonts w:ascii="Arial" w:hAnsi="Arial" w:cs="Arial"/>
          <w:bCs/>
          <w:sz w:val="16"/>
          <w:szCs w:val="16"/>
          <w:lang w:eastAsia="pl-PL"/>
        </w:rPr>
        <w:t>(nie  mniej niż 1% ceny</w:t>
      </w:r>
      <w:r w:rsidRPr="00C24F1E">
        <w:rPr>
          <w:rFonts w:ascii="Arial" w:hAnsi="Arial" w:cs="Arial"/>
          <w:b/>
          <w:bCs/>
          <w:sz w:val="16"/>
          <w:szCs w:val="16"/>
          <w:lang w:eastAsia="pl-PL"/>
        </w:rPr>
        <w:t xml:space="preserve"> </w:t>
      </w:r>
      <w:r w:rsidRPr="00C24F1E">
        <w:rPr>
          <w:rFonts w:ascii="Arial" w:hAnsi="Arial" w:cs="Arial"/>
          <w:bCs/>
          <w:sz w:val="16"/>
          <w:szCs w:val="16"/>
          <w:lang w:eastAsia="pl-PL"/>
        </w:rPr>
        <w:t>wywoławczej z zaokrągleniem w górę do pełnych dziesiątek złotych).</w:t>
      </w:r>
    </w:p>
    <w:p w14:paraId="5991C6AC" w14:textId="77777777" w:rsidR="00C24F1E" w:rsidRPr="004E495A" w:rsidRDefault="00C24F1E" w:rsidP="00C24F1E">
      <w:pPr>
        <w:spacing w:after="0" w:line="240" w:lineRule="auto"/>
        <w:ind w:left="720"/>
        <w:contextualSpacing/>
        <w:jc w:val="both"/>
        <w:rPr>
          <w:rFonts w:ascii="Arial" w:hAnsi="Arial" w:cs="Arial"/>
          <w:sz w:val="6"/>
          <w:szCs w:val="6"/>
          <w:u w:val="single"/>
          <w:lang w:eastAsia="pl-PL"/>
        </w:rPr>
      </w:pPr>
    </w:p>
    <w:p w14:paraId="487F9238" w14:textId="77777777" w:rsidR="009C3BDA" w:rsidRPr="005C3A71" w:rsidRDefault="009C3BDA" w:rsidP="00C24F1E">
      <w:pPr>
        <w:spacing w:after="0" w:line="240" w:lineRule="auto"/>
        <w:jc w:val="both"/>
        <w:rPr>
          <w:rFonts w:ascii="Arial" w:eastAsia="Times New Roman" w:hAnsi="Arial" w:cs="Arial"/>
          <w:bCs/>
          <w:sz w:val="15"/>
          <w:szCs w:val="15"/>
          <w:u w:val="single"/>
          <w:lang w:eastAsia="pl-PL"/>
        </w:rPr>
      </w:pPr>
      <w:r w:rsidRPr="005D3C2C">
        <w:rPr>
          <w:rFonts w:ascii="Arial" w:eastAsia="Times New Roman" w:hAnsi="Arial" w:cs="Arial"/>
          <w:bCs/>
          <w:sz w:val="15"/>
          <w:szCs w:val="15"/>
          <w:lang w:eastAsia="pl-PL"/>
        </w:rPr>
        <w:t xml:space="preserve">Do wylicytowanej ceny zostanie doliczony podatek VAT 23% zgodnie z ustawą z dnia 11.03.2004 r. o podatku od towarów i usług. </w:t>
      </w:r>
      <w:r w:rsidRPr="005C3A71">
        <w:rPr>
          <w:rFonts w:ascii="Arial" w:eastAsia="Times New Roman" w:hAnsi="Arial" w:cs="Arial"/>
          <w:bCs/>
          <w:sz w:val="15"/>
          <w:szCs w:val="15"/>
          <w:u w:val="single"/>
          <w:lang w:eastAsia="pl-PL"/>
        </w:rPr>
        <w:t xml:space="preserve"> </w:t>
      </w:r>
      <w:r w:rsidRPr="005C3A71"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  <w:t xml:space="preserve">Warunkiem udziału w przetargu jest przedłożenie komisji przetargowej dowodu wniesienia wadium. Wadium wniesione po terminie nie będzie uwzględnione. </w:t>
      </w:r>
    </w:p>
    <w:p w14:paraId="61195119" w14:textId="402AEE33" w:rsidR="009C3BDA" w:rsidRPr="009C3BDA" w:rsidRDefault="009C3BDA" w:rsidP="00C24F1E">
      <w:pPr>
        <w:spacing w:after="0"/>
        <w:jc w:val="both"/>
        <w:rPr>
          <w:rFonts w:ascii="Arial" w:hAnsi="Arial" w:cs="Arial"/>
          <w:sz w:val="15"/>
          <w:szCs w:val="15"/>
          <w:u w:val="single"/>
        </w:rPr>
      </w:pPr>
      <w:r w:rsidRPr="009C3BDA">
        <w:rPr>
          <w:rFonts w:ascii="Arial" w:hAnsi="Arial" w:cs="Arial"/>
          <w:sz w:val="15"/>
          <w:szCs w:val="15"/>
        </w:rPr>
        <w:t xml:space="preserve">Pełną informację dotyczącą nieruchomości oraz przetargu zawiera ogłoszenie wywieszone na tablicy ogłoszeń </w:t>
      </w:r>
      <w:r w:rsidRPr="009C3BDA">
        <w:rPr>
          <w:rFonts w:ascii="Arial" w:hAnsi="Arial" w:cs="Arial"/>
          <w:sz w:val="15"/>
          <w:szCs w:val="15"/>
        </w:rPr>
        <w:br/>
        <w:t xml:space="preserve">w siedzibie Urzędu Miasta Wałcz przy Placu Wolności 1 oraz na stronie internetowej Urzędu Miasta Wałcz </w:t>
      </w:r>
      <w:hyperlink r:id="rId10" w:history="1">
        <w:r w:rsidRPr="005D3C2C">
          <w:rPr>
            <w:rStyle w:val="Hipercze"/>
            <w:rFonts w:ascii="Arial" w:hAnsi="Arial" w:cs="Arial"/>
            <w:color w:val="auto"/>
            <w:sz w:val="15"/>
            <w:szCs w:val="15"/>
            <w:u w:val="none"/>
          </w:rPr>
          <w:t>www.walcz.pl</w:t>
        </w:r>
      </w:hyperlink>
      <w:r w:rsidRPr="005D3C2C">
        <w:rPr>
          <w:rFonts w:ascii="Arial" w:hAnsi="Arial" w:cs="Arial"/>
          <w:sz w:val="15"/>
          <w:szCs w:val="15"/>
        </w:rPr>
        <w:t xml:space="preserve"> w zakładce - </w:t>
      </w:r>
      <w:r w:rsidRPr="005D3C2C">
        <w:rPr>
          <w:rFonts w:ascii="Arial" w:hAnsi="Arial" w:cs="Arial"/>
          <w:sz w:val="15"/>
          <w:szCs w:val="15"/>
        </w:rPr>
        <w:lastRenderedPageBreak/>
        <w:t xml:space="preserve">sprzedaż nieruchomości oraz na stronie </w:t>
      </w:r>
      <w:hyperlink r:id="rId11" w:history="1">
        <w:r w:rsidRPr="005D3C2C">
          <w:rPr>
            <w:rStyle w:val="Hipercze"/>
            <w:rFonts w:ascii="Arial" w:hAnsi="Arial" w:cs="Arial"/>
            <w:color w:val="auto"/>
            <w:sz w:val="15"/>
            <w:szCs w:val="15"/>
            <w:u w:val="none"/>
          </w:rPr>
          <w:t>www.bip.walcz.pl</w:t>
        </w:r>
      </w:hyperlink>
      <w:r w:rsidRPr="005D3C2C">
        <w:rPr>
          <w:rStyle w:val="Hipercze"/>
          <w:rFonts w:ascii="Arial" w:hAnsi="Arial" w:cs="Arial"/>
          <w:color w:val="auto"/>
          <w:sz w:val="15"/>
          <w:szCs w:val="15"/>
          <w:u w:val="none"/>
        </w:rPr>
        <w:t xml:space="preserve"> w zakładce sprzedaż nieruchomości - przetargi na sprzedaż/dzierżawę nieruchomości.</w:t>
      </w:r>
      <w:r w:rsidRPr="005D3C2C">
        <w:rPr>
          <w:rFonts w:ascii="Arial" w:hAnsi="Arial" w:cs="Arial"/>
          <w:sz w:val="15"/>
          <w:szCs w:val="15"/>
        </w:rPr>
        <w:t xml:space="preserve"> </w:t>
      </w:r>
      <w:r w:rsidRPr="009C3BDA">
        <w:rPr>
          <w:rFonts w:ascii="Arial" w:hAnsi="Arial" w:cs="Arial"/>
          <w:sz w:val="15"/>
          <w:szCs w:val="15"/>
        </w:rPr>
        <w:t>Szczegółowe informacje można uzyskać również w Wydziale Gospodarki Nieruchomościami Urzędu Miasta Wałcz, pokój Nr 115</w:t>
      </w:r>
      <w:r w:rsidR="00783953">
        <w:rPr>
          <w:rFonts w:ascii="Arial" w:hAnsi="Arial" w:cs="Arial"/>
          <w:sz w:val="15"/>
          <w:szCs w:val="15"/>
        </w:rPr>
        <w:t xml:space="preserve">  tel. Nr  067 – 258 44 71 w. 30 lub 55</w:t>
      </w:r>
      <w:r w:rsidRPr="009C3BDA">
        <w:rPr>
          <w:rFonts w:ascii="Arial" w:hAnsi="Arial" w:cs="Arial"/>
          <w:sz w:val="15"/>
          <w:szCs w:val="15"/>
        </w:rPr>
        <w:t xml:space="preserve">. </w:t>
      </w:r>
    </w:p>
    <w:p w14:paraId="2349155C" w14:textId="77777777" w:rsidR="009C3BDA" w:rsidRDefault="009C3BDA" w:rsidP="00C24F1E">
      <w:pPr>
        <w:spacing w:after="0" w:line="240" w:lineRule="auto"/>
        <w:jc w:val="both"/>
        <w:rPr>
          <w:rFonts w:ascii="Arial" w:hAnsi="Arial" w:cs="Arial"/>
          <w:b/>
          <w:sz w:val="15"/>
          <w:szCs w:val="15"/>
          <w:u w:val="single"/>
        </w:rPr>
      </w:pPr>
      <w:r w:rsidRPr="009C3BDA">
        <w:rPr>
          <w:rFonts w:ascii="Arial" w:hAnsi="Arial" w:cs="Arial"/>
          <w:b/>
          <w:sz w:val="15"/>
          <w:szCs w:val="15"/>
          <w:u w:val="single"/>
        </w:rPr>
        <w:t>Zapraszamy do udziału w przetargu”</w:t>
      </w:r>
    </w:p>
    <w:p w14:paraId="45C525C4" w14:textId="77777777" w:rsidR="00C24F1E" w:rsidRDefault="00C24F1E" w:rsidP="00C24F1E">
      <w:pPr>
        <w:spacing w:after="0" w:line="240" w:lineRule="auto"/>
        <w:jc w:val="both"/>
        <w:rPr>
          <w:rFonts w:ascii="Arial" w:hAnsi="Arial" w:cs="Arial"/>
          <w:b/>
          <w:sz w:val="15"/>
          <w:szCs w:val="15"/>
          <w:u w:val="single"/>
        </w:rPr>
      </w:pPr>
    </w:p>
    <w:p w14:paraId="3746A4A6" w14:textId="77777777" w:rsidR="00C24F1E" w:rsidRPr="009C3BDA" w:rsidRDefault="00C24F1E" w:rsidP="00C24F1E">
      <w:pPr>
        <w:spacing w:after="0" w:line="240" w:lineRule="auto"/>
        <w:jc w:val="both"/>
        <w:rPr>
          <w:rFonts w:ascii="Arial" w:hAnsi="Arial" w:cs="Arial"/>
          <w:b/>
          <w:sz w:val="15"/>
          <w:szCs w:val="15"/>
          <w:u w:val="single"/>
        </w:rPr>
      </w:pPr>
    </w:p>
    <w:p w14:paraId="2C2742FB" w14:textId="77777777" w:rsidR="00380A8F" w:rsidRPr="009C3BDA" w:rsidRDefault="00380A8F" w:rsidP="00380A8F">
      <w:pPr>
        <w:widowControl w:val="0"/>
        <w:spacing w:after="0"/>
        <w:rPr>
          <w:rFonts w:ascii="Arial" w:eastAsia="Lucida Sans Unicode" w:hAnsi="Arial" w:cs="Arial"/>
          <w:kern w:val="1"/>
          <w:sz w:val="15"/>
          <w:szCs w:val="15"/>
        </w:rPr>
      </w:pPr>
    </w:p>
    <w:p w14:paraId="79C38832" w14:textId="77777777" w:rsidR="00656998" w:rsidRDefault="00656998" w:rsidP="005534F9">
      <w:pPr>
        <w:spacing w:after="0" w:line="300" w:lineRule="auto"/>
        <w:jc w:val="both"/>
        <w:rPr>
          <w:rFonts w:ascii="Montserrat" w:hAnsi="Montserrat"/>
          <w:sz w:val="20"/>
          <w:szCs w:val="20"/>
        </w:rPr>
      </w:pPr>
    </w:p>
    <w:p w14:paraId="5D4CE2EB" w14:textId="77777777" w:rsidR="00656998" w:rsidRDefault="00656998" w:rsidP="005534F9">
      <w:pPr>
        <w:spacing w:after="0" w:line="300" w:lineRule="auto"/>
        <w:jc w:val="both"/>
        <w:rPr>
          <w:rFonts w:ascii="Montserrat" w:hAnsi="Montserrat"/>
          <w:sz w:val="20"/>
          <w:szCs w:val="20"/>
        </w:rPr>
      </w:pPr>
    </w:p>
    <w:p w14:paraId="69AA3BD8" w14:textId="77777777" w:rsidR="00F44C1E" w:rsidRDefault="00F44C1E" w:rsidP="005534F9">
      <w:pPr>
        <w:tabs>
          <w:tab w:val="left" w:pos="2223"/>
        </w:tabs>
        <w:spacing w:after="0" w:line="300" w:lineRule="auto"/>
        <w:rPr>
          <w:rFonts w:ascii="Montserrat" w:hAnsi="Montserrat"/>
          <w:sz w:val="20"/>
          <w:szCs w:val="20"/>
        </w:rPr>
      </w:pPr>
    </w:p>
    <w:sectPr w:rsidR="00F44C1E" w:rsidSect="005F4CDA">
      <w:headerReference w:type="default" r:id="rId12"/>
      <w:footerReference w:type="default" r:id="rId13"/>
      <w:pgSz w:w="11906" w:h="16838"/>
      <w:pgMar w:top="2269" w:right="851" w:bottom="1418" w:left="1928" w:header="113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DA13" w14:textId="77777777" w:rsidR="005721B1" w:rsidRDefault="005721B1" w:rsidP="004B1261">
      <w:pPr>
        <w:spacing w:after="0" w:line="240" w:lineRule="auto"/>
      </w:pPr>
      <w:r>
        <w:separator/>
      </w:r>
    </w:p>
  </w:endnote>
  <w:endnote w:type="continuationSeparator" w:id="0">
    <w:p w14:paraId="2EB844FA" w14:textId="77777777" w:rsidR="005721B1" w:rsidRDefault="005721B1" w:rsidP="004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E498" w14:textId="77777777" w:rsidR="00924B90" w:rsidRPr="005F4CDA" w:rsidRDefault="00924B90" w:rsidP="00A245C6">
    <w:pPr>
      <w:pStyle w:val="Stopka"/>
      <w:spacing w:before="60" w:line="192" w:lineRule="auto"/>
      <w:ind w:firstLine="1871"/>
      <w:rPr>
        <w:rFonts w:ascii="Montserrat SemiBold" w:hAnsi="Montserrat SemiBold"/>
        <w:sz w:val="14"/>
        <w:szCs w:val="14"/>
      </w:rPr>
    </w:pPr>
    <w:r w:rsidRPr="005F4CDA">
      <w:rPr>
        <w:rFonts w:ascii="Montserrat SemiBold" w:hAnsi="Montserrat SemiBold"/>
        <w:sz w:val="14"/>
        <w:szCs w:val="14"/>
      </w:rPr>
      <w:t>Urząd Miasta Wałcz</w:t>
    </w:r>
  </w:p>
  <w:p w14:paraId="45E69115" w14:textId="77777777" w:rsidR="00924B90" w:rsidRPr="00A245C6" w:rsidRDefault="00924B90" w:rsidP="00A245C6">
    <w:pPr>
      <w:pStyle w:val="Stopka"/>
      <w:spacing w:before="60" w:line="192" w:lineRule="auto"/>
      <w:ind w:firstLine="1871"/>
      <w:rPr>
        <w:rFonts w:ascii="Montserrat" w:hAnsi="Montserrat"/>
        <w:sz w:val="14"/>
        <w:szCs w:val="14"/>
      </w:rPr>
    </w:pPr>
    <w:r w:rsidRPr="00A245C6">
      <w:rPr>
        <w:rFonts w:ascii="Montserrat" w:hAnsi="Montserrat"/>
        <w:sz w:val="14"/>
        <w:szCs w:val="14"/>
      </w:rPr>
      <w:t>Plac Wolności 1, 78-600 Wałcz, tel.+48 67</w:t>
    </w:r>
    <w:r w:rsidR="00656998">
      <w:rPr>
        <w:rFonts w:ascii="Montserrat" w:hAnsi="Montserrat"/>
        <w:sz w:val="14"/>
        <w:szCs w:val="14"/>
      </w:rPr>
      <w:t> 258 44 71</w:t>
    </w:r>
    <w:r w:rsidRPr="00A245C6">
      <w:rPr>
        <w:rFonts w:ascii="Montserrat" w:hAnsi="Montserrat"/>
        <w:sz w:val="14"/>
        <w:szCs w:val="14"/>
      </w:rPr>
      <w:t xml:space="preserve">,  </w:t>
    </w:r>
    <w:r w:rsidR="00656998">
      <w:rPr>
        <w:rFonts w:ascii="Montserrat" w:hAnsi="Montserrat"/>
        <w:sz w:val="14"/>
        <w:szCs w:val="14"/>
      </w:rPr>
      <w:t>kontakt</w:t>
    </w:r>
    <w:r w:rsidRPr="00A245C6">
      <w:rPr>
        <w:rFonts w:ascii="Montserrat" w:hAnsi="Montserrat"/>
        <w:sz w:val="14"/>
        <w:szCs w:val="14"/>
      </w:rPr>
      <w:t>@umwalcz.pl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539D" w14:textId="77777777" w:rsidR="005721B1" w:rsidRDefault="005721B1" w:rsidP="004B1261">
      <w:pPr>
        <w:spacing w:after="0" w:line="240" w:lineRule="auto"/>
      </w:pPr>
      <w:r>
        <w:separator/>
      </w:r>
    </w:p>
  </w:footnote>
  <w:footnote w:type="continuationSeparator" w:id="0">
    <w:p w14:paraId="3D260985" w14:textId="77777777" w:rsidR="005721B1" w:rsidRDefault="005721B1" w:rsidP="004B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674A" w14:textId="77777777" w:rsidR="004B1261" w:rsidRDefault="00317CF9" w:rsidP="00317CF9">
    <w:pPr>
      <w:pStyle w:val="Nagwek"/>
      <w:tabs>
        <w:tab w:val="clear" w:pos="4536"/>
        <w:tab w:val="clear" w:pos="9072"/>
        <w:tab w:val="left" w:pos="1177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E41D29F" wp14:editId="2E39DD27">
          <wp:simplePos x="0" y="0"/>
          <wp:positionH relativeFrom="page">
            <wp:align>right</wp:align>
          </wp:positionH>
          <wp:positionV relativeFrom="paragraph">
            <wp:posOffset>-709040</wp:posOffset>
          </wp:positionV>
          <wp:extent cx="7559523" cy="10692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listowni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B34"/>
    <w:multiLevelType w:val="hybridMultilevel"/>
    <w:tmpl w:val="21E246F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8F20782"/>
    <w:multiLevelType w:val="hybridMultilevel"/>
    <w:tmpl w:val="7B38A55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B8E03F6"/>
    <w:multiLevelType w:val="hybridMultilevel"/>
    <w:tmpl w:val="B7AA7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B3AD8"/>
    <w:multiLevelType w:val="hybridMultilevel"/>
    <w:tmpl w:val="C54A3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40948"/>
    <w:multiLevelType w:val="hybridMultilevel"/>
    <w:tmpl w:val="3F7A8034"/>
    <w:lvl w:ilvl="0" w:tplc="4522BE5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9E463FD"/>
    <w:multiLevelType w:val="hybridMultilevel"/>
    <w:tmpl w:val="3EC8F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2D5F"/>
    <w:multiLevelType w:val="hybridMultilevel"/>
    <w:tmpl w:val="C0CA81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EE4E97"/>
    <w:multiLevelType w:val="hybridMultilevel"/>
    <w:tmpl w:val="874E231C"/>
    <w:lvl w:ilvl="0" w:tplc="4522BE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31669B"/>
    <w:multiLevelType w:val="hybridMultilevel"/>
    <w:tmpl w:val="384E7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1ED"/>
    <w:multiLevelType w:val="hybridMultilevel"/>
    <w:tmpl w:val="A20292FA"/>
    <w:lvl w:ilvl="0" w:tplc="452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996AC1"/>
    <w:multiLevelType w:val="hybridMultilevel"/>
    <w:tmpl w:val="52F281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8176995">
    <w:abstractNumId w:val="8"/>
  </w:num>
  <w:num w:numId="2" w16cid:durableId="1346861320">
    <w:abstractNumId w:val="9"/>
  </w:num>
  <w:num w:numId="3" w16cid:durableId="352416984">
    <w:abstractNumId w:val="3"/>
  </w:num>
  <w:num w:numId="4" w16cid:durableId="1676221458">
    <w:abstractNumId w:val="7"/>
  </w:num>
  <w:num w:numId="5" w16cid:durableId="301227952">
    <w:abstractNumId w:val="5"/>
  </w:num>
  <w:num w:numId="6" w16cid:durableId="776485660">
    <w:abstractNumId w:val="4"/>
  </w:num>
  <w:num w:numId="7" w16cid:durableId="1264070260">
    <w:abstractNumId w:val="1"/>
  </w:num>
  <w:num w:numId="8" w16cid:durableId="648628811">
    <w:abstractNumId w:val="0"/>
  </w:num>
  <w:num w:numId="9" w16cid:durableId="705062986">
    <w:abstractNumId w:val="2"/>
  </w:num>
  <w:num w:numId="10" w16cid:durableId="1879271428">
    <w:abstractNumId w:val="6"/>
  </w:num>
  <w:num w:numId="11" w16cid:durableId="1833063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31"/>
    <w:rsid w:val="00004467"/>
    <w:rsid w:val="00011B21"/>
    <w:rsid w:val="0002124D"/>
    <w:rsid w:val="00056C4E"/>
    <w:rsid w:val="000933E9"/>
    <w:rsid w:val="000A7A5B"/>
    <w:rsid w:val="000B2362"/>
    <w:rsid w:val="000B7E60"/>
    <w:rsid w:val="000E5B2D"/>
    <w:rsid w:val="000F11EA"/>
    <w:rsid w:val="00102066"/>
    <w:rsid w:val="0010280F"/>
    <w:rsid w:val="001036C4"/>
    <w:rsid w:val="001127E6"/>
    <w:rsid w:val="00112B8A"/>
    <w:rsid w:val="0011325D"/>
    <w:rsid w:val="00114C25"/>
    <w:rsid w:val="001230C4"/>
    <w:rsid w:val="00124D5F"/>
    <w:rsid w:val="00151288"/>
    <w:rsid w:val="00153689"/>
    <w:rsid w:val="0015773B"/>
    <w:rsid w:val="0016688B"/>
    <w:rsid w:val="00167132"/>
    <w:rsid w:val="001917FC"/>
    <w:rsid w:val="00194FFC"/>
    <w:rsid w:val="001A0679"/>
    <w:rsid w:val="001A1941"/>
    <w:rsid w:val="001A2227"/>
    <w:rsid w:val="001B21B4"/>
    <w:rsid w:val="001C0C2F"/>
    <w:rsid w:val="001D73CC"/>
    <w:rsid w:val="001F3DC7"/>
    <w:rsid w:val="00203BD9"/>
    <w:rsid w:val="002057F9"/>
    <w:rsid w:val="00216AE4"/>
    <w:rsid w:val="00234BEE"/>
    <w:rsid w:val="0027451E"/>
    <w:rsid w:val="002959E1"/>
    <w:rsid w:val="002B11D2"/>
    <w:rsid w:val="002F1BDC"/>
    <w:rsid w:val="002F2EB0"/>
    <w:rsid w:val="00301D91"/>
    <w:rsid w:val="00304349"/>
    <w:rsid w:val="00317CF9"/>
    <w:rsid w:val="00363448"/>
    <w:rsid w:val="0036552A"/>
    <w:rsid w:val="00380A8F"/>
    <w:rsid w:val="00387A63"/>
    <w:rsid w:val="003D0950"/>
    <w:rsid w:val="003E10F0"/>
    <w:rsid w:val="003E2B74"/>
    <w:rsid w:val="003F50E9"/>
    <w:rsid w:val="00401A31"/>
    <w:rsid w:val="0040266A"/>
    <w:rsid w:val="00404A47"/>
    <w:rsid w:val="00411068"/>
    <w:rsid w:val="00411E50"/>
    <w:rsid w:val="004215B3"/>
    <w:rsid w:val="00433C7D"/>
    <w:rsid w:val="00435CC9"/>
    <w:rsid w:val="00445C38"/>
    <w:rsid w:val="00452498"/>
    <w:rsid w:val="00471DD9"/>
    <w:rsid w:val="00485EB0"/>
    <w:rsid w:val="004A0F39"/>
    <w:rsid w:val="004B1261"/>
    <w:rsid w:val="004B2DAF"/>
    <w:rsid w:val="004B4258"/>
    <w:rsid w:val="004B7B16"/>
    <w:rsid w:val="004C5D56"/>
    <w:rsid w:val="004E495A"/>
    <w:rsid w:val="004E7701"/>
    <w:rsid w:val="004F0361"/>
    <w:rsid w:val="004F7315"/>
    <w:rsid w:val="00506525"/>
    <w:rsid w:val="00507B5E"/>
    <w:rsid w:val="0052241A"/>
    <w:rsid w:val="00524962"/>
    <w:rsid w:val="005525B2"/>
    <w:rsid w:val="005534F9"/>
    <w:rsid w:val="0056459A"/>
    <w:rsid w:val="00566A25"/>
    <w:rsid w:val="005714DB"/>
    <w:rsid w:val="005721B1"/>
    <w:rsid w:val="005754B3"/>
    <w:rsid w:val="005923B4"/>
    <w:rsid w:val="005A7352"/>
    <w:rsid w:val="005C47FD"/>
    <w:rsid w:val="005D3C2C"/>
    <w:rsid w:val="005E6B5E"/>
    <w:rsid w:val="005F4CDA"/>
    <w:rsid w:val="00603F7A"/>
    <w:rsid w:val="00606FD8"/>
    <w:rsid w:val="006203C7"/>
    <w:rsid w:val="00650828"/>
    <w:rsid w:val="00656998"/>
    <w:rsid w:val="00672422"/>
    <w:rsid w:val="00691E4B"/>
    <w:rsid w:val="00692001"/>
    <w:rsid w:val="006A36AC"/>
    <w:rsid w:val="006C1250"/>
    <w:rsid w:val="006C657B"/>
    <w:rsid w:val="006C6D5F"/>
    <w:rsid w:val="006D02AD"/>
    <w:rsid w:val="006E3F5A"/>
    <w:rsid w:val="0070030B"/>
    <w:rsid w:val="00700555"/>
    <w:rsid w:val="00716210"/>
    <w:rsid w:val="00750508"/>
    <w:rsid w:val="00783953"/>
    <w:rsid w:val="00795DD6"/>
    <w:rsid w:val="00797883"/>
    <w:rsid w:val="007A09D9"/>
    <w:rsid w:val="007B20EA"/>
    <w:rsid w:val="007C0642"/>
    <w:rsid w:val="007C3174"/>
    <w:rsid w:val="007E5A80"/>
    <w:rsid w:val="007F430A"/>
    <w:rsid w:val="007F7C20"/>
    <w:rsid w:val="0080268F"/>
    <w:rsid w:val="00807C86"/>
    <w:rsid w:val="0085418D"/>
    <w:rsid w:val="00876949"/>
    <w:rsid w:val="008B1EA7"/>
    <w:rsid w:val="008B7C22"/>
    <w:rsid w:val="008C5ADF"/>
    <w:rsid w:val="008C6CCA"/>
    <w:rsid w:val="008E1F0A"/>
    <w:rsid w:val="0091746B"/>
    <w:rsid w:val="00924041"/>
    <w:rsid w:val="00924B90"/>
    <w:rsid w:val="0093071A"/>
    <w:rsid w:val="00936CFF"/>
    <w:rsid w:val="009463B2"/>
    <w:rsid w:val="00953767"/>
    <w:rsid w:val="00966696"/>
    <w:rsid w:val="009C03F0"/>
    <w:rsid w:val="009C3BDA"/>
    <w:rsid w:val="009D54B4"/>
    <w:rsid w:val="009E493B"/>
    <w:rsid w:val="009F4014"/>
    <w:rsid w:val="00A14BD6"/>
    <w:rsid w:val="00A245C6"/>
    <w:rsid w:val="00A54899"/>
    <w:rsid w:val="00A719FC"/>
    <w:rsid w:val="00A85559"/>
    <w:rsid w:val="00A94514"/>
    <w:rsid w:val="00AA54C3"/>
    <w:rsid w:val="00AC014A"/>
    <w:rsid w:val="00AC1173"/>
    <w:rsid w:val="00AE4CDA"/>
    <w:rsid w:val="00B155BF"/>
    <w:rsid w:val="00B3620F"/>
    <w:rsid w:val="00B44360"/>
    <w:rsid w:val="00B47691"/>
    <w:rsid w:val="00B559B9"/>
    <w:rsid w:val="00B55D77"/>
    <w:rsid w:val="00B609A1"/>
    <w:rsid w:val="00B822F9"/>
    <w:rsid w:val="00B860ED"/>
    <w:rsid w:val="00BB247D"/>
    <w:rsid w:val="00BC08A2"/>
    <w:rsid w:val="00BC3951"/>
    <w:rsid w:val="00BE1D1D"/>
    <w:rsid w:val="00C24F1E"/>
    <w:rsid w:val="00C621F7"/>
    <w:rsid w:val="00C62BA2"/>
    <w:rsid w:val="00C749FF"/>
    <w:rsid w:val="00C824DA"/>
    <w:rsid w:val="00C85FF8"/>
    <w:rsid w:val="00C90E96"/>
    <w:rsid w:val="00C929CD"/>
    <w:rsid w:val="00CA05B4"/>
    <w:rsid w:val="00CC2F49"/>
    <w:rsid w:val="00CC3444"/>
    <w:rsid w:val="00CD4299"/>
    <w:rsid w:val="00CD683A"/>
    <w:rsid w:val="00D105CF"/>
    <w:rsid w:val="00D139E1"/>
    <w:rsid w:val="00D2102D"/>
    <w:rsid w:val="00D461AC"/>
    <w:rsid w:val="00D50697"/>
    <w:rsid w:val="00D53A2E"/>
    <w:rsid w:val="00D56ED4"/>
    <w:rsid w:val="00D640C5"/>
    <w:rsid w:val="00D71B81"/>
    <w:rsid w:val="00D806BC"/>
    <w:rsid w:val="00D808B8"/>
    <w:rsid w:val="00D87D10"/>
    <w:rsid w:val="00DD745B"/>
    <w:rsid w:val="00DE766D"/>
    <w:rsid w:val="00DF4DCA"/>
    <w:rsid w:val="00E01A4C"/>
    <w:rsid w:val="00E160F5"/>
    <w:rsid w:val="00E649FE"/>
    <w:rsid w:val="00E650E3"/>
    <w:rsid w:val="00E65AD1"/>
    <w:rsid w:val="00E750A4"/>
    <w:rsid w:val="00E81E6D"/>
    <w:rsid w:val="00E958A4"/>
    <w:rsid w:val="00ED7474"/>
    <w:rsid w:val="00EE145C"/>
    <w:rsid w:val="00EE636A"/>
    <w:rsid w:val="00F01461"/>
    <w:rsid w:val="00F4155D"/>
    <w:rsid w:val="00F43500"/>
    <w:rsid w:val="00F44C1E"/>
    <w:rsid w:val="00F4523A"/>
    <w:rsid w:val="00F963B9"/>
    <w:rsid w:val="00FA217A"/>
    <w:rsid w:val="00FA672C"/>
    <w:rsid w:val="00FB0E91"/>
    <w:rsid w:val="00FB56CA"/>
    <w:rsid w:val="00FD26B8"/>
    <w:rsid w:val="00FD6959"/>
    <w:rsid w:val="00FD7193"/>
    <w:rsid w:val="00FF121E"/>
    <w:rsid w:val="00FF26BA"/>
    <w:rsid w:val="00FF3571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7C912E"/>
  <w15:chartTrackingRefBased/>
  <w15:docId w15:val="{C7E98445-C7CB-40FA-80AD-9F05AF4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rsid w:val="00672422"/>
    <w:pPr>
      <w:spacing w:after="0" w:line="276" w:lineRule="auto"/>
      <w:ind w:firstLine="680"/>
      <w:jc w:val="both"/>
      <w:outlineLvl w:val="3"/>
    </w:pPr>
    <w:rPr>
      <w:rFonts w:asciiTheme="majorHAnsi" w:hAnsiTheme="majorHAnsi" w:cstheme="minorHAns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261"/>
  </w:style>
  <w:style w:type="paragraph" w:styleId="Stopka">
    <w:name w:val="footer"/>
    <w:basedOn w:val="Normalny"/>
    <w:link w:val="StopkaZnak"/>
    <w:uiPriority w:val="99"/>
    <w:unhideWhenUsed/>
    <w:rsid w:val="004B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261"/>
  </w:style>
  <w:style w:type="table" w:styleId="Tabela-Siatka">
    <w:name w:val="Table Grid"/>
    <w:basedOn w:val="Standardowy"/>
    <w:uiPriority w:val="39"/>
    <w:rsid w:val="00DD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A54C3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672422"/>
    <w:rPr>
      <w:rFonts w:asciiTheme="majorHAnsi" w:hAnsiTheme="majorHAnsi" w:cstheme="minorHAnsi"/>
      <w:color w:val="2F5496" w:themeColor="accent1" w:themeShade="BF"/>
      <w:lang w:eastAsia="pl-PL"/>
    </w:rPr>
  </w:style>
  <w:style w:type="paragraph" w:styleId="Zwrotgrzecznociowy">
    <w:name w:val="Salutation"/>
    <w:aliases w:val="Dotyczy"/>
    <w:basedOn w:val="Wcicienormalne"/>
    <w:next w:val="Normalny"/>
    <w:link w:val="ZwrotgrzecznociowyZnak"/>
    <w:uiPriority w:val="4"/>
    <w:unhideWhenUsed/>
    <w:qFormat/>
    <w:rsid w:val="00672422"/>
    <w:pPr>
      <w:spacing w:after="200" w:line="276" w:lineRule="auto"/>
      <w:ind w:left="0" w:firstLine="680"/>
      <w:jc w:val="both"/>
    </w:pPr>
    <w:rPr>
      <w:rFonts w:cstheme="minorHAnsi"/>
      <w:b/>
      <w:sz w:val="24"/>
      <w:szCs w:val="20"/>
      <w:lang w:eastAsia="pl-PL"/>
    </w:rPr>
  </w:style>
  <w:style w:type="character" w:customStyle="1" w:styleId="ZwrotgrzecznociowyZnak">
    <w:name w:val="Zwrot grzecznościowy Znak"/>
    <w:aliases w:val="Dotyczy Znak"/>
    <w:basedOn w:val="Domylnaczcionkaakapitu"/>
    <w:link w:val="Zwrotgrzecznociowy"/>
    <w:uiPriority w:val="4"/>
    <w:rsid w:val="00672422"/>
    <w:rPr>
      <w:rFonts w:cstheme="minorHAnsi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672422"/>
    <w:pPr>
      <w:spacing w:after="200" w:line="276" w:lineRule="auto"/>
      <w:ind w:left="720" w:firstLine="680"/>
      <w:jc w:val="both"/>
    </w:pPr>
    <w:rPr>
      <w:rFonts w:cstheme="minorHAnsi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7242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242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2422"/>
    <w:pPr>
      <w:spacing w:after="120" w:line="276" w:lineRule="auto"/>
      <w:ind w:left="283" w:firstLine="680"/>
      <w:jc w:val="both"/>
    </w:pPr>
    <w:rPr>
      <w:rFonts w:cstheme="minorHAns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2422"/>
    <w:rPr>
      <w:rFonts w:cstheme="minorHAnsi"/>
      <w:sz w:val="16"/>
      <w:szCs w:val="1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672422"/>
    <w:pPr>
      <w:ind w:left="708"/>
    </w:pPr>
  </w:style>
  <w:style w:type="character" w:styleId="Hipercze">
    <w:name w:val="Hyperlink"/>
    <w:basedOn w:val="Domylnaczcionkaakapitu"/>
    <w:unhideWhenUsed/>
    <w:rsid w:val="00380A8F"/>
    <w:rPr>
      <w:color w:val="0563C1" w:themeColor="hyperlink"/>
      <w:u w:val="single"/>
    </w:rPr>
  </w:style>
  <w:style w:type="character" w:customStyle="1" w:styleId="indeksgrny">
    <w:name w:val="indeks górny"/>
    <w:rsid w:val="00FF35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74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9C3BDA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606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FD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FD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walc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l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8A96-EB9D-472F-9C22-5AA12E89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Kabs- Małecka</dc:creator>
  <cp:keywords/>
  <dc:description/>
  <cp:lastModifiedBy>Monika Walczyk</cp:lastModifiedBy>
  <cp:revision>2</cp:revision>
  <cp:lastPrinted>2023-08-28T11:27:00Z</cp:lastPrinted>
  <dcterms:created xsi:type="dcterms:W3CDTF">2023-08-28T12:24:00Z</dcterms:created>
  <dcterms:modified xsi:type="dcterms:W3CDTF">2023-08-28T12:24:00Z</dcterms:modified>
</cp:coreProperties>
</file>