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C859" w14:textId="675A04D5" w:rsidR="00622175" w:rsidRPr="00622175" w:rsidRDefault="00622175" w:rsidP="00622175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  <w:r w:rsidRPr="00622175">
        <w:rPr>
          <w:rFonts w:asciiTheme="minorHAnsi" w:hAnsiTheme="minorHAnsi" w:cstheme="minorHAnsi"/>
          <w:b/>
          <w:i/>
          <w:sz w:val="18"/>
          <w:szCs w:val="18"/>
        </w:rPr>
        <w:t xml:space="preserve">Załącznik nr </w:t>
      </w:r>
      <w:r w:rsidR="00F523FF">
        <w:rPr>
          <w:rFonts w:asciiTheme="minorHAnsi" w:hAnsiTheme="minorHAnsi" w:cstheme="minorHAnsi"/>
          <w:b/>
          <w:i/>
          <w:sz w:val="18"/>
          <w:szCs w:val="18"/>
        </w:rPr>
        <w:t>6</w:t>
      </w:r>
    </w:p>
    <w:p w14:paraId="0C81CAFD" w14:textId="77777777" w:rsidR="00622175" w:rsidRPr="00622175" w:rsidRDefault="00622175" w:rsidP="00622175">
      <w:pPr>
        <w:jc w:val="right"/>
        <w:rPr>
          <w:rFonts w:asciiTheme="minorHAnsi" w:hAnsiTheme="minorHAnsi" w:cstheme="minorHAnsi"/>
        </w:rPr>
      </w:pPr>
      <w:r w:rsidRPr="00622175">
        <w:rPr>
          <w:rFonts w:asciiTheme="minorHAnsi" w:hAnsiTheme="minorHAnsi" w:cstheme="minorHAnsi"/>
          <w:b/>
          <w:i/>
          <w:sz w:val="18"/>
          <w:szCs w:val="18"/>
        </w:rPr>
        <w:t>do zapytania ofertowego – Wzór umowy</w:t>
      </w:r>
    </w:p>
    <w:p w14:paraId="6A54F86A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8CAF6AA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D65B0C5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13B6DAD" w14:textId="15D655CC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UMOWA Nr …………/202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1FEB6648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</w:p>
    <w:p w14:paraId="24BFA93B" w14:textId="355F206E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Zawarta w dniu ..............202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2175">
        <w:rPr>
          <w:rFonts w:asciiTheme="minorHAnsi" w:hAnsiTheme="minorHAnsi" w:cstheme="minorHAnsi"/>
          <w:sz w:val="22"/>
          <w:szCs w:val="22"/>
        </w:rPr>
        <w:t xml:space="preserve"> r. w Słupsku pomiędzy:</w:t>
      </w:r>
    </w:p>
    <w:p w14:paraId="67CC0470" w14:textId="77777777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Pomorską Agencją Rozwoju Regionalnego Spółką Akcyjną z siedzibą w Słupsku, wpisaną do rejestru przedsiębiorców Krajowego Rejestru Sądowego prowadzonego przez Sąd Rejonowy Gdańsk Północ pod numerem KRS: 0000052733, o numerze NIP: 8390029569 i REGON: 770719284 (Spółka)</w:t>
      </w:r>
    </w:p>
    <w:p w14:paraId="18D32BE2" w14:textId="77777777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784745DB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14:paraId="614FCAB5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14:paraId="4D206E2D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zwanym w dalszej części umowy „ ZAMAWIAJĄCYM”</w:t>
      </w:r>
    </w:p>
    <w:p w14:paraId="702F87D1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</w:p>
    <w:p w14:paraId="6A7A441A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a</w:t>
      </w:r>
    </w:p>
    <w:p w14:paraId="6F9377ED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</w:p>
    <w:p w14:paraId="076CC12D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firmą …………………………………………. z siedzibą ……………………………………., posiadającą</w:t>
      </w:r>
    </w:p>
    <w:p w14:paraId="723B9B69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NIP: ……………………… i działająca na podstawie …………………………….. reprezentowaną przez:</w:t>
      </w:r>
    </w:p>
    <w:p w14:paraId="73C5F098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1. ………………………………………………………</w:t>
      </w:r>
    </w:p>
    <w:p w14:paraId="0BABF554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2. …………………………………………….………..</w:t>
      </w:r>
    </w:p>
    <w:p w14:paraId="5EEF3F9A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zwanym dalej WYKONAWCĄ,</w:t>
      </w:r>
    </w:p>
    <w:p w14:paraId="1B67D79B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79C714EB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57A83BD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81CD9FB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1</w:t>
      </w:r>
    </w:p>
    <w:p w14:paraId="17670A02" w14:textId="375840D5" w:rsidR="00622175" w:rsidRPr="00622175" w:rsidRDefault="00622175" w:rsidP="00622175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Zgodnie z przeprowadzonym postępowaniem w trybie zapytania ofertowego </w:t>
      </w:r>
      <w:r w:rsidR="006747C5">
        <w:rPr>
          <w:rFonts w:asciiTheme="minorHAnsi" w:hAnsiTheme="minorHAnsi" w:cstheme="minorHAnsi"/>
          <w:sz w:val="22"/>
          <w:szCs w:val="22"/>
        </w:rPr>
        <w:br/>
      </w:r>
      <w:r w:rsidRPr="00622175">
        <w:rPr>
          <w:rFonts w:asciiTheme="minorHAnsi" w:hAnsiTheme="minorHAnsi" w:cstheme="minorHAnsi"/>
          <w:sz w:val="22"/>
          <w:szCs w:val="22"/>
        </w:rPr>
        <w:t>z dnia ………202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2175">
        <w:rPr>
          <w:rFonts w:asciiTheme="minorHAnsi" w:hAnsiTheme="minorHAnsi" w:cstheme="minorHAnsi"/>
          <w:sz w:val="22"/>
          <w:szCs w:val="22"/>
        </w:rPr>
        <w:t xml:space="preserve">r., Zamawiający zamawia a Wykonawca zobowiązuje się dostarczyć </w:t>
      </w:r>
      <w:r>
        <w:rPr>
          <w:rFonts w:asciiTheme="minorHAnsi" w:hAnsiTheme="minorHAnsi" w:cstheme="minorHAnsi"/>
          <w:sz w:val="22"/>
          <w:szCs w:val="22"/>
        </w:rPr>
        <w:t>skaner</w:t>
      </w:r>
      <w:r w:rsidR="006747C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laserowy</w:t>
      </w:r>
      <w:r w:rsidR="006747C5">
        <w:rPr>
          <w:rFonts w:asciiTheme="minorHAnsi" w:hAnsiTheme="minorHAnsi" w:cstheme="minorHAnsi"/>
          <w:sz w:val="22"/>
          <w:szCs w:val="22"/>
        </w:rPr>
        <w:t> 3D</w:t>
      </w:r>
      <w:r w:rsidRPr="0062217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 </w:t>
      </w:r>
      <w:r w:rsidRPr="00622175">
        <w:rPr>
          <w:rFonts w:asciiTheme="minorHAnsi" w:hAnsiTheme="minorHAnsi" w:cstheme="minorHAnsi"/>
          <w:i/>
          <w:iCs/>
          <w:sz w:val="22"/>
          <w:szCs w:val="22"/>
        </w:rPr>
        <w:t>(marka, model, rok produkcji)</w:t>
      </w:r>
      <w:r w:rsidR="00147B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147BEB" w:rsidRPr="00147BEB">
        <w:rPr>
          <w:rFonts w:asciiTheme="minorHAnsi" w:hAnsiTheme="minorHAnsi" w:cstheme="minorHAnsi"/>
          <w:sz w:val="22"/>
          <w:szCs w:val="22"/>
        </w:rPr>
        <w:t>wraz z osprzętem i oprogramowaniem</w:t>
      </w:r>
      <w:r w:rsidRPr="00622175">
        <w:rPr>
          <w:rFonts w:asciiTheme="minorHAnsi" w:hAnsiTheme="minorHAnsi" w:cstheme="minorHAnsi"/>
          <w:sz w:val="22"/>
          <w:szCs w:val="22"/>
        </w:rPr>
        <w:t>.</w:t>
      </w:r>
    </w:p>
    <w:p w14:paraId="66F7ACC4" w14:textId="696F1A3C" w:rsidR="00622175" w:rsidRPr="00622175" w:rsidRDefault="00622175" w:rsidP="00622175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Przedmiotem umowy jest dostawa ……… (</w:t>
      </w:r>
      <w:r w:rsidRPr="00622175">
        <w:rPr>
          <w:rFonts w:asciiTheme="minorHAnsi" w:hAnsiTheme="minorHAnsi" w:cstheme="minorHAnsi"/>
          <w:i/>
          <w:iCs/>
          <w:sz w:val="22"/>
          <w:szCs w:val="22"/>
        </w:rPr>
        <w:t>ilość</w:t>
      </w:r>
      <w:r w:rsidRPr="00622175">
        <w:rPr>
          <w:rFonts w:asciiTheme="minorHAnsi" w:hAnsiTheme="minorHAnsi" w:cstheme="minorHAnsi"/>
          <w:sz w:val="22"/>
          <w:szCs w:val="22"/>
        </w:rPr>
        <w:t xml:space="preserve">) </w:t>
      </w:r>
      <w:r w:rsidR="00AF4E10">
        <w:rPr>
          <w:rFonts w:asciiTheme="minorHAnsi" w:hAnsiTheme="minorHAnsi" w:cstheme="minorHAnsi"/>
          <w:sz w:val="22"/>
          <w:szCs w:val="22"/>
        </w:rPr>
        <w:t>skanera 3D</w:t>
      </w:r>
      <w:r w:rsidRPr="00622175">
        <w:rPr>
          <w:rFonts w:asciiTheme="minorHAnsi" w:hAnsiTheme="minorHAnsi" w:cstheme="minorHAnsi"/>
          <w:sz w:val="22"/>
          <w:szCs w:val="22"/>
        </w:rPr>
        <w:t xml:space="preserve"> wymienion</w:t>
      </w:r>
      <w:r w:rsidR="00AF4E10">
        <w:rPr>
          <w:rFonts w:asciiTheme="minorHAnsi" w:hAnsiTheme="minorHAnsi" w:cstheme="minorHAnsi"/>
          <w:sz w:val="22"/>
          <w:szCs w:val="22"/>
        </w:rPr>
        <w:t>ego</w:t>
      </w:r>
      <w:r w:rsidRPr="00622175">
        <w:rPr>
          <w:rFonts w:asciiTheme="minorHAnsi" w:hAnsiTheme="minorHAnsi" w:cstheme="minorHAnsi"/>
          <w:sz w:val="22"/>
          <w:szCs w:val="22"/>
        </w:rPr>
        <w:t xml:space="preserve"> w pkt. 1 dla potrzeb Pomorskiej Agencji Rozwoju Regionalnego S.A. z siedzibą w Słupsku.</w:t>
      </w:r>
    </w:p>
    <w:p w14:paraId="46ABC454" w14:textId="5E5C3363" w:rsidR="00622175" w:rsidRPr="00622175" w:rsidRDefault="00622175" w:rsidP="00622175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Wykonawca oświadcza, że </w:t>
      </w:r>
      <w:r w:rsidR="00AF4E10">
        <w:rPr>
          <w:rFonts w:asciiTheme="minorHAnsi" w:hAnsiTheme="minorHAnsi" w:cstheme="minorHAnsi"/>
          <w:sz w:val="22"/>
          <w:szCs w:val="22"/>
        </w:rPr>
        <w:t xml:space="preserve">skaner </w:t>
      </w:r>
      <w:r w:rsidRPr="00622175">
        <w:rPr>
          <w:rFonts w:asciiTheme="minorHAnsi" w:hAnsiTheme="minorHAnsi" w:cstheme="minorHAnsi"/>
          <w:sz w:val="22"/>
          <w:szCs w:val="22"/>
        </w:rPr>
        <w:t>będący przedmiotem umowy jest fabrycznie now</w:t>
      </w:r>
      <w:r w:rsidR="00AF4E10">
        <w:rPr>
          <w:rFonts w:asciiTheme="minorHAnsi" w:hAnsiTheme="minorHAnsi" w:cstheme="minorHAnsi"/>
          <w:sz w:val="22"/>
          <w:szCs w:val="22"/>
        </w:rPr>
        <w:t>y</w:t>
      </w:r>
      <w:r w:rsidRPr="00622175">
        <w:rPr>
          <w:rFonts w:asciiTheme="minorHAnsi" w:hAnsiTheme="minorHAnsi" w:cstheme="minorHAnsi"/>
          <w:sz w:val="22"/>
          <w:szCs w:val="22"/>
        </w:rPr>
        <w:t>, kompletn</w:t>
      </w:r>
      <w:r w:rsidR="00AF4E10">
        <w:rPr>
          <w:rFonts w:asciiTheme="minorHAnsi" w:hAnsiTheme="minorHAnsi" w:cstheme="minorHAnsi"/>
          <w:sz w:val="22"/>
          <w:szCs w:val="22"/>
        </w:rPr>
        <w:t>y</w:t>
      </w:r>
      <w:r w:rsidRPr="00622175">
        <w:rPr>
          <w:rFonts w:asciiTheme="minorHAnsi" w:hAnsiTheme="minorHAnsi" w:cstheme="minorHAnsi"/>
          <w:sz w:val="22"/>
          <w:szCs w:val="22"/>
        </w:rPr>
        <w:t>, wolne od wad konstrukcyjnych, materiałowych i wykonawczych, o parametrach technicznych opisanych w ofercie Wykonawcy z dnia ………..</w:t>
      </w:r>
    </w:p>
    <w:p w14:paraId="4530EF28" w14:textId="77777777" w:rsidR="00AF4E10" w:rsidRDefault="00AF4E10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6979E49" w14:textId="122C366F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2</w:t>
      </w:r>
    </w:p>
    <w:p w14:paraId="41A03335" w14:textId="45D48AE2" w:rsidR="00622175" w:rsidRPr="00622175" w:rsidRDefault="00622175" w:rsidP="00622175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Wykonawca zobowiązuje się dostarczyć </w:t>
      </w:r>
      <w:r w:rsidR="00D8554F">
        <w:rPr>
          <w:rFonts w:asciiTheme="minorHAnsi" w:hAnsiTheme="minorHAnsi" w:cstheme="minorHAnsi"/>
          <w:sz w:val="22"/>
          <w:szCs w:val="22"/>
        </w:rPr>
        <w:t xml:space="preserve">laserowy </w:t>
      </w:r>
      <w:r w:rsidR="00AF4E10">
        <w:rPr>
          <w:rFonts w:asciiTheme="minorHAnsi" w:hAnsiTheme="minorHAnsi" w:cstheme="minorHAnsi"/>
          <w:sz w:val="22"/>
          <w:szCs w:val="22"/>
        </w:rPr>
        <w:t xml:space="preserve">skaner 3D </w:t>
      </w:r>
      <w:r w:rsidRPr="00622175">
        <w:rPr>
          <w:rFonts w:asciiTheme="minorHAnsi" w:hAnsiTheme="minorHAnsi" w:cstheme="minorHAnsi"/>
          <w:sz w:val="22"/>
          <w:szCs w:val="22"/>
        </w:rPr>
        <w:t>na własny koszt do siedziby Zamawiającego w godzinach 8.00 – 1</w:t>
      </w:r>
      <w:r w:rsidR="006B52B1">
        <w:rPr>
          <w:rFonts w:asciiTheme="minorHAnsi" w:hAnsiTheme="minorHAnsi" w:cstheme="minorHAnsi"/>
          <w:sz w:val="22"/>
          <w:szCs w:val="22"/>
        </w:rPr>
        <w:t>4</w:t>
      </w:r>
      <w:r w:rsidRPr="00622175">
        <w:rPr>
          <w:rFonts w:asciiTheme="minorHAnsi" w:hAnsiTheme="minorHAnsi" w:cstheme="minorHAnsi"/>
          <w:sz w:val="22"/>
          <w:szCs w:val="22"/>
        </w:rPr>
        <w:t xml:space="preserve">.00 w dni robocze, od poniedziałku do piątku. </w:t>
      </w:r>
    </w:p>
    <w:p w14:paraId="078E133D" w14:textId="597FA0C6" w:rsidR="00622175" w:rsidRPr="00AF4E10" w:rsidRDefault="00622175" w:rsidP="00AF4E10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Wykonanie dostawy </w:t>
      </w:r>
      <w:r w:rsidR="00AF4E10">
        <w:rPr>
          <w:rFonts w:asciiTheme="minorHAnsi" w:hAnsiTheme="minorHAnsi" w:cstheme="minorHAnsi"/>
          <w:sz w:val="22"/>
          <w:szCs w:val="22"/>
        </w:rPr>
        <w:t>skanera 3D</w:t>
      </w:r>
      <w:r w:rsidRPr="00622175">
        <w:rPr>
          <w:rFonts w:asciiTheme="minorHAnsi" w:hAnsiTheme="minorHAnsi" w:cstheme="minorHAnsi"/>
          <w:sz w:val="22"/>
          <w:szCs w:val="22"/>
        </w:rPr>
        <w:t xml:space="preserve"> potwierdzone zostanie protokołem odbioru „bez zastrzeżeń”, sporządzonym w dwóch jednobrzmiących egzemplarzach, podpisanym przez upoważnionych przedstawicieli obu stron. Protokół będzie stanowił podstawę wystawienia faktury przez Wykonawcę za realizację przedmiotu umowy.</w:t>
      </w:r>
    </w:p>
    <w:p w14:paraId="7084C514" w14:textId="24B1E599" w:rsidR="00622175" w:rsidRPr="00622175" w:rsidRDefault="00622175" w:rsidP="00622175">
      <w:pPr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Wykonawca zobowiązuje się wykonać przedmiot umowy, tj. dostarczyć </w:t>
      </w:r>
      <w:r w:rsidR="00AF4E10">
        <w:rPr>
          <w:rFonts w:asciiTheme="minorHAnsi" w:hAnsiTheme="minorHAnsi" w:cstheme="minorHAnsi"/>
          <w:sz w:val="22"/>
          <w:szCs w:val="22"/>
        </w:rPr>
        <w:t>skaner 3D</w:t>
      </w:r>
      <w:r w:rsidRPr="00622175">
        <w:rPr>
          <w:rFonts w:asciiTheme="minorHAnsi" w:hAnsiTheme="minorHAnsi" w:cstheme="minorHAnsi"/>
          <w:sz w:val="22"/>
          <w:szCs w:val="22"/>
        </w:rPr>
        <w:t xml:space="preserve"> do siedziby Zamawiającego</w:t>
      </w:r>
      <w:r w:rsidR="006B52B1">
        <w:rPr>
          <w:rFonts w:asciiTheme="minorHAnsi" w:hAnsiTheme="minorHAnsi" w:cstheme="minorHAnsi"/>
          <w:sz w:val="22"/>
          <w:szCs w:val="22"/>
        </w:rPr>
        <w:t>,</w:t>
      </w:r>
      <w:r w:rsidRPr="00622175">
        <w:rPr>
          <w:rFonts w:asciiTheme="minorHAnsi" w:hAnsiTheme="minorHAnsi" w:cstheme="minorHAnsi"/>
          <w:sz w:val="22"/>
          <w:szCs w:val="22"/>
        </w:rPr>
        <w:t xml:space="preserve"> tj. w Słupsku, ul. Obrońców Wybrzeża 3</w:t>
      </w:r>
      <w:r w:rsidR="00AF4E10">
        <w:rPr>
          <w:rFonts w:asciiTheme="minorHAnsi" w:hAnsiTheme="minorHAnsi" w:cstheme="minorHAnsi"/>
          <w:sz w:val="22"/>
          <w:szCs w:val="22"/>
        </w:rPr>
        <w:t>B</w:t>
      </w:r>
      <w:r w:rsidRPr="00622175">
        <w:rPr>
          <w:rFonts w:asciiTheme="minorHAnsi" w:hAnsiTheme="minorHAnsi" w:cstheme="minorHAnsi"/>
          <w:sz w:val="22"/>
          <w:szCs w:val="22"/>
        </w:rPr>
        <w:t>, w terminie określonym w § 3</w:t>
      </w:r>
    </w:p>
    <w:p w14:paraId="308979C4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</w:p>
    <w:p w14:paraId="25112474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3</w:t>
      </w:r>
    </w:p>
    <w:p w14:paraId="1DB03E39" w14:textId="680E7FF7" w:rsidR="00622175" w:rsidRPr="00622175" w:rsidRDefault="00622175" w:rsidP="0062217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Przedmiot umowy zostanie zrealizowany w terminie ……… </w:t>
      </w:r>
      <w:r w:rsidRPr="00622175">
        <w:rPr>
          <w:rFonts w:asciiTheme="minorHAnsi" w:hAnsiTheme="minorHAnsi" w:cstheme="minorHAnsi"/>
          <w:sz w:val="18"/>
          <w:szCs w:val="18"/>
        </w:rPr>
        <w:t>(</w:t>
      </w:r>
      <w:r w:rsidRPr="00622175">
        <w:rPr>
          <w:rFonts w:asciiTheme="minorHAnsi" w:hAnsiTheme="minorHAnsi" w:cstheme="minorHAnsi"/>
          <w:i/>
          <w:iCs/>
          <w:sz w:val="18"/>
          <w:szCs w:val="18"/>
        </w:rPr>
        <w:t xml:space="preserve">maksymalny termin realizacji przedmiotu zamówienia wynosi </w:t>
      </w:r>
      <w:r w:rsidR="00AF4E10">
        <w:rPr>
          <w:rFonts w:asciiTheme="minorHAnsi" w:hAnsiTheme="minorHAnsi" w:cstheme="minorHAnsi"/>
          <w:i/>
          <w:iCs/>
          <w:sz w:val="18"/>
          <w:szCs w:val="18"/>
        </w:rPr>
        <w:t>6</w:t>
      </w:r>
      <w:r w:rsidRPr="00622175">
        <w:rPr>
          <w:rFonts w:asciiTheme="minorHAnsi" w:hAnsiTheme="minorHAnsi" w:cstheme="minorHAnsi"/>
          <w:i/>
          <w:iCs/>
          <w:sz w:val="18"/>
          <w:szCs w:val="18"/>
        </w:rPr>
        <w:t xml:space="preserve">0 dni od dnia podpisania umowy, przy czym skrócenie terminu dostawy podlega ocenie w kryterium oceny ofert i w przypadku zaoferowania krótszego terminu realizacji będzie on wiążący) </w:t>
      </w:r>
      <w:r w:rsidRPr="00622175">
        <w:rPr>
          <w:rFonts w:asciiTheme="minorHAnsi" w:hAnsiTheme="minorHAnsi" w:cstheme="minorHAnsi"/>
          <w:sz w:val="22"/>
          <w:szCs w:val="22"/>
        </w:rPr>
        <w:t xml:space="preserve">dni od dnia podpisania niniejszej umowy. W przypadku gdy ostatni dzień terminu realizacji umowy przypadnie na dzień nie </w:t>
      </w:r>
      <w:r w:rsidRPr="00622175">
        <w:rPr>
          <w:rFonts w:asciiTheme="minorHAnsi" w:hAnsiTheme="minorHAnsi" w:cstheme="minorHAnsi"/>
          <w:sz w:val="22"/>
          <w:szCs w:val="22"/>
        </w:rPr>
        <w:lastRenderedPageBreak/>
        <w:t>będący dniem roboczym, termin ten zostanie przedłużony do pierwszego dnia roboczego następującego po dniu, na który przypada ostatni dzień realizacji umowy.</w:t>
      </w:r>
    </w:p>
    <w:p w14:paraId="0D4FE082" w14:textId="77777777" w:rsidR="00622175" w:rsidRPr="00622175" w:rsidRDefault="00622175" w:rsidP="00622175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Przez dni robocze należy rozumieć dni od poniedziałku do piątku, z wyłączeniem dni przypadających w dni ustawowo wolne od pracy.</w:t>
      </w:r>
    </w:p>
    <w:p w14:paraId="4C649FDC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B55A372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35823115"/>
      <w:r w:rsidRPr="00622175">
        <w:rPr>
          <w:rFonts w:asciiTheme="minorHAnsi" w:hAnsiTheme="minorHAnsi" w:cstheme="minorHAnsi"/>
          <w:sz w:val="22"/>
          <w:szCs w:val="22"/>
        </w:rPr>
        <w:t xml:space="preserve">§ </w:t>
      </w:r>
      <w:bookmarkEnd w:id="0"/>
      <w:r w:rsidRPr="00622175">
        <w:rPr>
          <w:rFonts w:asciiTheme="minorHAnsi" w:hAnsiTheme="minorHAnsi" w:cstheme="minorHAnsi"/>
          <w:sz w:val="22"/>
          <w:szCs w:val="22"/>
        </w:rPr>
        <w:t>4</w:t>
      </w:r>
    </w:p>
    <w:p w14:paraId="2F6C352A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Zgodnie z ofertą, Wykonawca z tytułu realizacji umowy otrzyma wynagrodzenie .................. zł netto - słownie: ..................................................zł, </w:t>
      </w:r>
    </w:p>
    <w:p w14:paraId="6540638C" w14:textId="77777777" w:rsidR="00622175" w:rsidRPr="00622175" w:rsidRDefault="00622175" w:rsidP="0062217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plus podatek w wysokości …... %, tj:</w:t>
      </w:r>
    </w:p>
    <w:p w14:paraId="7237E326" w14:textId="77777777" w:rsidR="00622175" w:rsidRPr="00622175" w:rsidRDefault="00622175" w:rsidP="0062217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.............................. zł brutto – słownie ................................................................. zł po uprzednim odbiorze przedmiotu zamówienia i podpisaniu protokołu odbioru.</w:t>
      </w:r>
    </w:p>
    <w:p w14:paraId="65121B38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Zapłata należności nastąpi w formie polecenia przelewu z rachunku Zamawiającego na rachunek bankowy Wykonawcy umieszczony na fakturze, w terminie 14 dni od daty otrzymania przez Zamawiającego prawidłowo wystawionej faktury. </w:t>
      </w:r>
    </w:p>
    <w:p w14:paraId="02AB1B46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5823131"/>
      <w:r w:rsidRPr="00622175">
        <w:rPr>
          <w:rFonts w:asciiTheme="minorHAnsi" w:hAnsiTheme="minorHAnsi" w:cstheme="minorHAnsi"/>
          <w:sz w:val="22"/>
          <w:szCs w:val="22"/>
        </w:rPr>
        <w:t>Dniem zapłaty jest dzień obciążenia rachunku Zamawiającego.</w:t>
      </w:r>
    </w:p>
    <w:p w14:paraId="7941FD6E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 przypadku opóźnienia w uregulowaniu stosownej należności Zamawiający zapłaci Wykonawcy odsetki ustawowe za opóźnienie w transakcjach handlowych.</w:t>
      </w:r>
    </w:p>
    <w:p w14:paraId="73A45D38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Wierzytelności związane z realizacją niniejszej umowy nie mogą być przedmiotem obrotu pomiędzy </w:t>
      </w:r>
      <w:bookmarkEnd w:id="1"/>
      <w:r w:rsidRPr="00622175">
        <w:rPr>
          <w:rFonts w:asciiTheme="minorHAnsi" w:hAnsiTheme="minorHAnsi" w:cstheme="minorHAnsi"/>
          <w:sz w:val="22"/>
          <w:szCs w:val="22"/>
        </w:rPr>
        <w:t>osobami trzecimi.</w:t>
      </w:r>
    </w:p>
    <w:p w14:paraId="039932A5" w14:textId="77777777" w:rsidR="00622175" w:rsidRPr="00622175" w:rsidRDefault="00622175" w:rsidP="00622175">
      <w:pPr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Wynagrodzenie ustalone w ust. 1 obejmuje wszelkie koszty związane z realizacją przedmiotu umowy.</w:t>
      </w:r>
    </w:p>
    <w:p w14:paraId="27389CD0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1E4AC3B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5</w:t>
      </w:r>
    </w:p>
    <w:p w14:paraId="12ED6F4B" w14:textId="087014CC" w:rsidR="00622175" w:rsidRPr="00A67EF5" w:rsidRDefault="00622175" w:rsidP="00A67EF5">
      <w:pPr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Wykonawca udziela Zamawiającemu gwarancji licząc od dnia sporządzenia protokołu potwierdzającego odbiór przedmiotu umowy na okres</w:t>
      </w:r>
      <w:r w:rsidR="00A67EF5">
        <w:rPr>
          <w:rFonts w:asciiTheme="minorHAnsi" w:hAnsiTheme="minorHAnsi" w:cstheme="minorHAnsi"/>
          <w:sz w:val="22"/>
          <w:szCs w:val="22"/>
        </w:rPr>
        <w:t xml:space="preserve"> ….. miesięcy.</w:t>
      </w:r>
    </w:p>
    <w:p w14:paraId="39D35901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C0A3D26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6</w:t>
      </w:r>
    </w:p>
    <w:p w14:paraId="2FD8C714" w14:textId="77777777" w:rsidR="00622175" w:rsidRPr="00622175" w:rsidRDefault="00622175" w:rsidP="00622175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 przypadku niedotrzymania terminu realizacji zamówienia określonego niniejszą umową, Wykonawca zapłaci Zamawiającemu karę umowną w wysokości 0,2% wartości umowy za każdy dzień zwłoki.</w:t>
      </w:r>
    </w:p>
    <w:p w14:paraId="5C1FD466" w14:textId="77777777" w:rsidR="00622175" w:rsidRPr="00622175" w:rsidRDefault="00622175" w:rsidP="00622175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 razie nieuregulowania płatności w wyznaczonym terminie, Zamawiający zapłaci Wykonawcy kary umowne w wysokości 0,2% wartości umowy za każdy dzień zwłoki.</w:t>
      </w:r>
    </w:p>
    <w:p w14:paraId="4C242698" w14:textId="77777777" w:rsidR="00622175" w:rsidRPr="00622175" w:rsidRDefault="00622175" w:rsidP="00622175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kary umowne </w:t>
      </w:r>
    </w:p>
    <w:p w14:paraId="21E97162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3AF801D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ED2A543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7</w:t>
      </w:r>
    </w:p>
    <w:p w14:paraId="021AD52F" w14:textId="77777777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Zamawiający przewiduje możliwość dokonania zmian postanowień zawartej umowy w stosunku do treści oferty, na podstawie której dokonano wyboru Wykonawcy, w przypadku wystąpienia nieprzewidzianych zdarzeń losowych i działania siły wyższej</w:t>
      </w:r>
    </w:p>
    <w:p w14:paraId="5A711762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F9AE3FE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4296C81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8</w:t>
      </w:r>
    </w:p>
    <w:p w14:paraId="3434538D" w14:textId="77777777" w:rsidR="00622175" w:rsidRPr="00622175" w:rsidRDefault="00622175" w:rsidP="00622175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Umowa może zostać rozwiązana przez Strony na mocy porozumienia, w przypadku gdy wystąpią okoliczności uniemożliwiające realizację Przedmiotu umowy, za które Strony nie ponoszą odpowiedzialności.</w:t>
      </w:r>
    </w:p>
    <w:p w14:paraId="56761506" w14:textId="77777777" w:rsidR="00622175" w:rsidRPr="00622175" w:rsidRDefault="00622175" w:rsidP="00622175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Rozwiązanie umowy dla swej ważności i skuteczności wymaga zachowania formy pisemnej</w:t>
      </w:r>
    </w:p>
    <w:p w14:paraId="0B1167FE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5CF2276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2" w:name="_Hlk135825013"/>
    </w:p>
    <w:p w14:paraId="6669E2A1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9</w:t>
      </w:r>
    </w:p>
    <w:p w14:paraId="07282B8F" w14:textId="77777777" w:rsidR="00622175" w:rsidRPr="00622175" w:rsidRDefault="00622175" w:rsidP="00622175">
      <w:pPr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Strony oświadczają, że są Administratorem Danych Osobowych w rozumieniu przepisów Ogólnego Rozporządzenia o Ochronie Danych („RODO”) i dla  celów i w zakresie określonym w Umowie udostępniają  (przekazują) drugiej stronie (Odbiorcy Danych)  Dane Osobowe.</w:t>
      </w:r>
    </w:p>
    <w:p w14:paraId="2B1BC419" w14:textId="77777777" w:rsidR="00622175" w:rsidRPr="00622175" w:rsidRDefault="00622175" w:rsidP="00622175">
      <w:pPr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Udostępnienie Danych Osobowych następuje w zakresie niezbędnym dla wypełnienia prawnie uzasadnionych interesów realizowanych przez Strony w związku z realizacją niniejszej Umowy. Podstawą prawną przetwarzania jest art. 6 ust. 1 lit f) RODO.</w:t>
      </w:r>
    </w:p>
    <w:p w14:paraId="633EC0EE" w14:textId="77777777" w:rsidR="00622175" w:rsidRPr="00622175" w:rsidRDefault="00622175" w:rsidP="00622175">
      <w:pPr>
        <w:numPr>
          <w:ilvl w:val="0"/>
          <w:numId w:val="1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Zamawiający zobowiązuje się poinformować osoby, których dane dotyczą o udostępnieniu oraz o dalszym przetwarzaniu Danych Osobowych zgodnie z art. 14 RODO., zgodnie z treścią klauzuli informacyjnej – stanowiącej załącznik do niniejszej umowy.</w:t>
      </w:r>
    </w:p>
    <w:p w14:paraId="797C6018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37F7FAA" w14:textId="77777777" w:rsidR="00622175" w:rsidRPr="00622175" w:rsidRDefault="00622175" w:rsidP="00622175">
      <w:pPr>
        <w:jc w:val="center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§ 10</w:t>
      </w:r>
    </w:p>
    <w:bookmarkEnd w:id="2"/>
    <w:p w14:paraId="3D517BD8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Wszystkie zmiany umowy wymagają formy pisemnej pod rygorem nieważności.</w:t>
      </w:r>
    </w:p>
    <w:p w14:paraId="7A08D433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Integralną częścią umowy jest oferta Wykonawcy wraz z wymaganymi zapytaniem ofertowym załącznikami.</w:t>
      </w:r>
    </w:p>
    <w:p w14:paraId="3FC19459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Kodeksu Cywilnego. </w:t>
      </w:r>
    </w:p>
    <w:p w14:paraId="006502DC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Ewentualne spory wynikłe z niniejszej umowy poddaje się rozstrzygnięciu sądu właściwego dla siedziby Zamawiającego.</w:t>
      </w:r>
    </w:p>
    <w:p w14:paraId="3E2B744F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każdej ze Stron.</w:t>
      </w:r>
    </w:p>
    <w:p w14:paraId="2419D1FF" w14:textId="77777777" w:rsidR="00622175" w:rsidRPr="00622175" w:rsidRDefault="00622175" w:rsidP="0062217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Umowa wchodzi w życie z dniem jej zawarcia.</w:t>
      </w:r>
    </w:p>
    <w:p w14:paraId="0D99D697" w14:textId="77777777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CA261C" w14:textId="77777777" w:rsid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5F4617" w14:textId="77777777" w:rsidR="00A67EF5" w:rsidRPr="00622175" w:rsidRDefault="00A67EF5" w:rsidP="006221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4F669" w14:textId="77777777" w:rsidR="00622175" w:rsidRPr="00622175" w:rsidRDefault="00622175" w:rsidP="006221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0DE5BF" w14:textId="42E02A81" w:rsidR="00622175" w:rsidRDefault="00A67EF5" w:rsidP="00A67EF5">
      <w:pPr>
        <w:tabs>
          <w:tab w:val="left" w:pos="567"/>
          <w:tab w:val="left" w:leader="dot" w:pos="3402"/>
          <w:tab w:val="left" w:pos="6804"/>
          <w:tab w:val="left" w:leader="dot" w:pos="963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5BD8366" w14:textId="24BBE8BB" w:rsidR="00A67EF5" w:rsidRPr="00622175" w:rsidRDefault="00A67EF5" w:rsidP="00A67EF5">
      <w:pPr>
        <w:tabs>
          <w:tab w:val="center" w:pos="1985"/>
          <w:tab w:val="center" w:pos="8222"/>
          <w:tab w:val="left" w:leader="dot" w:pos="963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ZAMAWIAJĄCY</w:t>
      </w:r>
      <w:r>
        <w:rPr>
          <w:rFonts w:asciiTheme="minorHAnsi" w:hAnsiTheme="minorHAnsi" w:cstheme="minorHAnsi"/>
          <w:sz w:val="22"/>
          <w:szCs w:val="22"/>
        </w:rPr>
        <w:tab/>
        <w:t>WYKONAWCA</w:t>
      </w:r>
    </w:p>
    <w:p w14:paraId="17030B53" w14:textId="75557966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</w:p>
    <w:p w14:paraId="6AD63D27" w14:textId="77777777" w:rsidR="00622175" w:rsidRPr="00622175" w:rsidRDefault="00622175" w:rsidP="00622175">
      <w:p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Załączniki:</w:t>
      </w:r>
    </w:p>
    <w:p w14:paraId="37F4DE61" w14:textId="77777777" w:rsidR="00622175" w:rsidRPr="00622175" w:rsidRDefault="00622175" w:rsidP="00622175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Oferta Wykonawcy z dnia …..</w:t>
      </w:r>
    </w:p>
    <w:p w14:paraId="48040794" w14:textId="77777777" w:rsidR="00622175" w:rsidRPr="00622175" w:rsidRDefault="00622175" w:rsidP="00622175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>Protokół odbioru</w:t>
      </w:r>
    </w:p>
    <w:p w14:paraId="5DA39886" w14:textId="77777777" w:rsidR="00622175" w:rsidRPr="00622175" w:rsidRDefault="00622175" w:rsidP="00622175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622175">
        <w:rPr>
          <w:rFonts w:asciiTheme="minorHAnsi" w:hAnsiTheme="minorHAnsi" w:cstheme="minorHAnsi"/>
          <w:sz w:val="22"/>
          <w:szCs w:val="22"/>
        </w:rPr>
        <w:t xml:space="preserve">Klauzula informacyjna </w:t>
      </w:r>
    </w:p>
    <w:p w14:paraId="1E230D5E" w14:textId="71EB2973" w:rsidR="003A65E8" w:rsidRPr="00622175" w:rsidRDefault="003A65E8" w:rsidP="00622175">
      <w:pPr>
        <w:rPr>
          <w:rFonts w:asciiTheme="minorHAnsi" w:hAnsiTheme="minorHAnsi" w:cstheme="minorHAnsi"/>
        </w:rPr>
      </w:pPr>
    </w:p>
    <w:sectPr w:rsidR="003A65E8" w:rsidRPr="00622175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936FF" w14:textId="77777777" w:rsidR="008157DC" w:rsidRDefault="008157DC" w:rsidP="003A65E8">
      <w:r>
        <w:separator/>
      </w:r>
    </w:p>
  </w:endnote>
  <w:endnote w:type="continuationSeparator" w:id="0">
    <w:p w14:paraId="203F710C" w14:textId="77777777" w:rsidR="008157DC" w:rsidRDefault="008157DC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C49A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AAFA4D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9276756" w14:textId="77777777" w:rsidTr="001C658B">
      <w:trPr>
        <w:trHeight w:val="389"/>
      </w:trPr>
      <w:tc>
        <w:tcPr>
          <w:tcW w:w="6663" w:type="dxa"/>
          <w:vAlign w:val="bottom"/>
        </w:tcPr>
        <w:p w14:paraId="145111D9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5267C51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07BD1AB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0ED08C75" w14:textId="77777777" w:rsidTr="001C658B">
      <w:trPr>
        <w:trHeight w:val="71"/>
      </w:trPr>
      <w:tc>
        <w:tcPr>
          <w:tcW w:w="6663" w:type="dxa"/>
          <w:vAlign w:val="bottom"/>
        </w:tcPr>
        <w:p w14:paraId="17B41C65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73B21379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11A1FF6C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71A91D26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A35EA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431EE2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33BDDF06" w14:textId="77777777" w:rsidTr="001C658B">
      <w:trPr>
        <w:trHeight w:val="389"/>
      </w:trPr>
      <w:tc>
        <w:tcPr>
          <w:tcW w:w="6663" w:type="dxa"/>
          <w:vAlign w:val="bottom"/>
        </w:tcPr>
        <w:p w14:paraId="4704ABE1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1942A02C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C076BC3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34F224E0" w14:textId="77777777" w:rsidTr="001C658B">
      <w:trPr>
        <w:trHeight w:val="71"/>
      </w:trPr>
      <w:tc>
        <w:tcPr>
          <w:tcW w:w="6663" w:type="dxa"/>
          <w:vAlign w:val="bottom"/>
        </w:tcPr>
        <w:p w14:paraId="1621B216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25B9C5B8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62E2E182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487D6763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3731E" w14:textId="77777777" w:rsidR="008157DC" w:rsidRDefault="008157DC" w:rsidP="003A65E8">
      <w:r>
        <w:separator/>
      </w:r>
    </w:p>
  </w:footnote>
  <w:footnote w:type="continuationSeparator" w:id="0">
    <w:p w14:paraId="334AAFED" w14:textId="77777777" w:rsidR="008157DC" w:rsidRDefault="008157DC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E4E2A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3A7A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218D0F32" wp14:editId="3B8CC443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1250D"/>
    <w:multiLevelType w:val="hybridMultilevel"/>
    <w:tmpl w:val="2AB02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70E5"/>
    <w:multiLevelType w:val="hybridMultilevel"/>
    <w:tmpl w:val="B588B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126F"/>
    <w:multiLevelType w:val="hybridMultilevel"/>
    <w:tmpl w:val="9E62B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43B19"/>
    <w:multiLevelType w:val="hybridMultilevel"/>
    <w:tmpl w:val="DAB8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2487"/>
    <w:multiLevelType w:val="hybridMultilevel"/>
    <w:tmpl w:val="8A8E031C"/>
    <w:lvl w:ilvl="0" w:tplc="148EE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339B2"/>
    <w:multiLevelType w:val="hybridMultilevel"/>
    <w:tmpl w:val="F1226B54"/>
    <w:lvl w:ilvl="0" w:tplc="9D181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95E56"/>
    <w:multiLevelType w:val="hybridMultilevel"/>
    <w:tmpl w:val="0FE6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E8D08C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31E04"/>
    <w:multiLevelType w:val="hybridMultilevel"/>
    <w:tmpl w:val="38BA9CF0"/>
    <w:lvl w:ilvl="0" w:tplc="09A8BB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7F03C3"/>
    <w:multiLevelType w:val="hybridMultilevel"/>
    <w:tmpl w:val="1F881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E28B7"/>
    <w:multiLevelType w:val="hybridMultilevel"/>
    <w:tmpl w:val="8260355C"/>
    <w:lvl w:ilvl="0" w:tplc="BC824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62CDC"/>
    <w:multiLevelType w:val="hybridMultilevel"/>
    <w:tmpl w:val="3972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110693">
    <w:abstractNumId w:val="10"/>
  </w:num>
  <w:num w:numId="2" w16cid:durableId="1593469113">
    <w:abstractNumId w:val="4"/>
  </w:num>
  <w:num w:numId="3" w16cid:durableId="1231304112">
    <w:abstractNumId w:val="1"/>
  </w:num>
  <w:num w:numId="4" w16cid:durableId="1536850701">
    <w:abstractNumId w:val="8"/>
  </w:num>
  <w:num w:numId="5" w16cid:durableId="2072266265">
    <w:abstractNumId w:val="0"/>
  </w:num>
  <w:num w:numId="6" w16cid:durableId="2067685117">
    <w:abstractNumId w:val="5"/>
  </w:num>
  <w:num w:numId="7" w16cid:durableId="2088066663">
    <w:abstractNumId w:val="9"/>
  </w:num>
  <w:num w:numId="8" w16cid:durableId="1297567886">
    <w:abstractNumId w:val="7"/>
  </w:num>
  <w:num w:numId="9" w16cid:durableId="735591621">
    <w:abstractNumId w:val="2"/>
  </w:num>
  <w:num w:numId="10" w16cid:durableId="16203479">
    <w:abstractNumId w:val="3"/>
  </w:num>
  <w:num w:numId="11" w16cid:durableId="2114090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75"/>
    <w:rsid w:val="00045774"/>
    <w:rsid w:val="000A0655"/>
    <w:rsid w:val="00147BEB"/>
    <w:rsid w:val="00167CA0"/>
    <w:rsid w:val="001A31DC"/>
    <w:rsid w:val="001E0769"/>
    <w:rsid w:val="002078A2"/>
    <w:rsid w:val="0025288A"/>
    <w:rsid w:val="00253779"/>
    <w:rsid w:val="002D071E"/>
    <w:rsid w:val="003A65E8"/>
    <w:rsid w:val="003E3F14"/>
    <w:rsid w:val="00455DDD"/>
    <w:rsid w:val="0050145F"/>
    <w:rsid w:val="00507A5F"/>
    <w:rsid w:val="00545DBD"/>
    <w:rsid w:val="005D5CB5"/>
    <w:rsid w:val="006179C8"/>
    <w:rsid w:val="00622175"/>
    <w:rsid w:val="00636F4A"/>
    <w:rsid w:val="00655BD3"/>
    <w:rsid w:val="00664907"/>
    <w:rsid w:val="006747C5"/>
    <w:rsid w:val="00677FDA"/>
    <w:rsid w:val="006B41DC"/>
    <w:rsid w:val="006B52B1"/>
    <w:rsid w:val="0075046C"/>
    <w:rsid w:val="008157DC"/>
    <w:rsid w:val="00843331"/>
    <w:rsid w:val="009523D8"/>
    <w:rsid w:val="009B2F78"/>
    <w:rsid w:val="00A00179"/>
    <w:rsid w:val="00A64D30"/>
    <w:rsid w:val="00A67EF5"/>
    <w:rsid w:val="00AF4E10"/>
    <w:rsid w:val="00B059A5"/>
    <w:rsid w:val="00B531C2"/>
    <w:rsid w:val="00BE1D4B"/>
    <w:rsid w:val="00BF0619"/>
    <w:rsid w:val="00BF15ED"/>
    <w:rsid w:val="00C10B3F"/>
    <w:rsid w:val="00C371CF"/>
    <w:rsid w:val="00D8554F"/>
    <w:rsid w:val="00DF4BD7"/>
    <w:rsid w:val="00E5125B"/>
    <w:rsid w:val="00E63DD7"/>
    <w:rsid w:val="00E7135D"/>
    <w:rsid w:val="00E86E31"/>
    <w:rsid w:val="00EB7644"/>
    <w:rsid w:val="00ED109A"/>
    <w:rsid w:val="00F3096A"/>
    <w:rsid w:val="00F523FF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D7380"/>
  <w15:chartTrackingRefBased/>
  <w15:docId w15:val="{EF053C05-7439-4266-B009-D38C6C13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175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E52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467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36</TotalTime>
  <Pages>3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8</cp:revision>
  <dcterms:created xsi:type="dcterms:W3CDTF">2025-04-08T05:29:00Z</dcterms:created>
  <dcterms:modified xsi:type="dcterms:W3CDTF">2025-05-15T10:44:00Z</dcterms:modified>
</cp:coreProperties>
</file>